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BD" w:rsidRDefault="00397DBD" w:rsidP="00397DBD">
      <w:pPr>
        <w:jc w:val="center"/>
        <w:rPr>
          <w:rFonts w:ascii="標楷體" w:eastAsia="標楷體" w:hAnsi="標楷體"/>
          <w:sz w:val="40"/>
          <w:szCs w:val="40"/>
        </w:rPr>
      </w:pPr>
      <w:r>
        <w:rPr>
          <w:rFonts w:ascii="標楷體" w:eastAsia="標楷體" w:hAnsi="標楷體" w:hint="eastAsia"/>
          <w:sz w:val="40"/>
          <w:szCs w:val="40"/>
        </w:rPr>
        <w:t>行動通信網路業務基地臺設置使用管理辦法</w:t>
      </w:r>
    </w:p>
    <w:p w:rsidR="00397DBD" w:rsidRDefault="00156E61" w:rsidP="00397DBD">
      <w:pPr>
        <w:jc w:val="center"/>
        <w:rPr>
          <w:rFonts w:ascii="Arial" w:eastAsia="標楷體" w:hAnsi="Arial" w:cs="Arial"/>
          <w:sz w:val="40"/>
          <w:szCs w:val="40"/>
        </w:rPr>
      </w:pPr>
      <w:r>
        <w:rPr>
          <w:rFonts w:ascii="Arial" w:eastAsia="標楷體" w:hAnsi="Arial" w:cs="Arial" w:hint="eastAsia"/>
          <w:sz w:val="40"/>
          <w:szCs w:val="40"/>
        </w:rPr>
        <w:t>修正</w:t>
      </w:r>
      <w:r w:rsidR="00397DBD">
        <w:rPr>
          <w:rFonts w:ascii="標楷體" w:eastAsia="標楷體" w:hAnsi="標楷體" w:hint="eastAsia"/>
          <w:sz w:val="40"/>
          <w:szCs w:val="40"/>
        </w:rPr>
        <w:t>部分條文</w:t>
      </w:r>
      <w:r w:rsidR="00397DBD">
        <w:rPr>
          <w:rFonts w:ascii="Arial" w:eastAsia="標楷體" w:hAnsi="Arial" w:cs="Arial" w:hint="eastAsia"/>
          <w:sz w:val="40"/>
          <w:szCs w:val="40"/>
        </w:rPr>
        <w:t>總說明及對照表</w:t>
      </w:r>
    </w:p>
    <w:p w:rsidR="00397DBD" w:rsidRDefault="00397DBD" w:rsidP="00397DBD">
      <w:pPr>
        <w:spacing w:line="460" w:lineRule="exact"/>
        <w:ind w:firstLineChars="205" w:firstLine="574"/>
        <w:rPr>
          <w:rFonts w:ascii="標楷體" w:eastAsia="標楷體"/>
          <w:color w:val="000000"/>
          <w:sz w:val="28"/>
        </w:rPr>
      </w:pPr>
      <w:r>
        <w:rPr>
          <w:rFonts w:ascii="標楷體" w:eastAsia="標楷體" w:hint="eastAsia"/>
          <w:color w:val="000000"/>
          <w:sz w:val="28"/>
        </w:rPr>
        <w:t>近年來，隨著科技進步，智慧型終端設備風行，行動通信事業逐漸增加小細胞基地臺（small cells）設置，補足傳統基地臺（macro-cells）涵蓋之空隙，並提升通訊容量。小細胞基地臺主要提供熱點（hot spots）或熱區（hot zones）涵蓋，以類似無線區域網路Wi-Fi接取點之設置，解決大量增加的上網容量需求。</w:t>
      </w:r>
    </w:p>
    <w:p w:rsidR="00397DBD" w:rsidRDefault="00397DBD" w:rsidP="00397DBD">
      <w:pPr>
        <w:spacing w:line="460" w:lineRule="exact"/>
        <w:ind w:firstLineChars="205" w:firstLine="574"/>
        <w:rPr>
          <w:rFonts w:ascii="標楷體" w:eastAsia="標楷體"/>
          <w:color w:val="000000"/>
          <w:sz w:val="28"/>
        </w:rPr>
      </w:pPr>
      <w:r>
        <w:rPr>
          <w:rFonts w:ascii="標楷體" w:eastAsia="標楷體" w:hint="eastAsia"/>
          <w:color w:val="000000"/>
          <w:sz w:val="28"/>
        </w:rPr>
        <w:t>由於小細胞基地臺的體積小、功率低、架設容易，適用小範圍通信涵蓋改善之需，可有效提升用戶寬頻上網速率，為建立小細胞基地臺之合宜管理變革，爰修正行動通信網路業務基地臺設置使用管理辦法（以下簡稱本辦法）第九條及第十四條規定，簡化小細胞基地臺設備之設置管理，俾對都會區或室內因受建築物遮蔽，形成傳統基地臺無法有效涵蓋之弱訊區，或對人口眾多之熱點或熱區，補強其電波涵蓋，提升通訊容量。</w:t>
      </w:r>
    </w:p>
    <w:p w:rsidR="00397DBD" w:rsidRDefault="00397DBD" w:rsidP="00397DBD">
      <w:pPr>
        <w:spacing w:line="460" w:lineRule="exact"/>
        <w:ind w:firstLineChars="205" w:firstLine="574"/>
        <w:rPr>
          <w:rFonts w:ascii="標楷體" w:eastAsia="標楷體"/>
          <w:color w:val="000000"/>
          <w:sz w:val="28"/>
        </w:rPr>
      </w:pPr>
      <w:r>
        <w:rPr>
          <w:rFonts w:ascii="標楷體" w:eastAsia="標楷體" w:hint="eastAsia"/>
          <w:color w:val="000000"/>
          <w:sz w:val="28"/>
        </w:rPr>
        <w:t>另為因應行動寬頻業務之開放，以及基地臺融入景觀美化之需要，一併修正相關條文。本辦法主要修正重點分述如下：</w:t>
      </w:r>
    </w:p>
    <w:p w:rsidR="00397DBD" w:rsidRDefault="00397DBD" w:rsidP="00397DBD">
      <w:pPr>
        <w:spacing w:line="460" w:lineRule="exact"/>
        <w:ind w:left="616" w:hangingChars="220" w:hanging="616"/>
        <w:rPr>
          <w:rFonts w:ascii="標楷體" w:eastAsia="標楷體"/>
          <w:color w:val="000000"/>
          <w:sz w:val="28"/>
        </w:rPr>
      </w:pPr>
      <w:r>
        <w:rPr>
          <w:rFonts w:ascii="標楷體" w:eastAsia="標楷體" w:hint="eastAsia"/>
          <w:color w:val="000000"/>
          <w:sz w:val="28"/>
        </w:rPr>
        <w:t>一、明確定義基地臺之最大有效等向輻射功率。（修正條文第三條）</w:t>
      </w:r>
    </w:p>
    <w:p w:rsidR="00397DBD" w:rsidRDefault="00397DBD" w:rsidP="00397DBD">
      <w:pPr>
        <w:spacing w:line="460" w:lineRule="exact"/>
        <w:ind w:left="616" w:hangingChars="220" w:hanging="616"/>
        <w:rPr>
          <w:rFonts w:ascii="標楷體" w:eastAsia="標楷體"/>
          <w:color w:val="000000"/>
          <w:sz w:val="28"/>
        </w:rPr>
      </w:pPr>
      <w:r>
        <w:rPr>
          <w:rFonts w:ascii="標楷體" w:eastAsia="標楷體" w:hint="eastAsia"/>
          <w:color w:val="000000"/>
          <w:sz w:val="28"/>
        </w:rPr>
        <w:t>二、使行動業務經營者既設之基地臺，得以移轉為行動寬頻業務經營者行動通信系統之一部。（修正條文第四條）</w:t>
      </w:r>
    </w:p>
    <w:p w:rsidR="00397DBD" w:rsidRDefault="00397DBD" w:rsidP="00397DBD">
      <w:pPr>
        <w:spacing w:line="460" w:lineRule="exact"/>
        <w:ind w:left="616" w:hangingChars="220" w:hanging="616"/>
        <w:rPr>
          <w:rFonts w:ascii="標楷體" w:eastAsia="標楷體"/>
          <w:color w:val="000000"/>
          <w:sz w:val="28"/>
        </w:rPr>
      </w:pPr>
      <w:r>
        <w:rPr>
          <w:rFonts w:ascii="標楷體" w:eastAsia="標楷體" w:hint="eastAsia"/>
          <w:color w:val="000000"/>
          <w:sz w:val="28"/>
        </w:rPr>
        <w:t>三、毫微微細胞接取點與Wi-Fi接取點僅使用頻段不同，發射功率及網路架構相當類似，為利經營者使用毫微微細胞接取點布建行動寬頻上網基礎建設，爰明定毫微微細胞接取點設備之使用管制，須取得電臺執照，但免申請架設許可。（修正條文第九條）</w:t>
      </w:r>
    </w:p>
    <w:p w:rsidR="00397DBD" w:rsidRDefault="00397DBD" w:rsidP="00397DBD">
      <w:pPr>
        <w:spacing w:line="460" w:lineRule="exact"/>
        <w:ind w:left="616" w:hangingChars="220" w:hanging="616"/>
        <w:rPr>
          <w:rFonts w:ascii="標楷體" w:eastAsia="標楷體"/>
          <w:color w:val="000000"/>
          <w:sz w:val="28"/>
        </w:rPr>
      </w:pPr>
      <w:r>
        <w:rPr>
          <w:rFonts w:ascii="標楷體" w:eastAsia="標楷體" w:hint="eastAsia"/>
          <w:color w:val="000000"/>
          <w:sz w:val="28"/>
        </w:rPr>
        <w:t>四、配合內政部營建署之建築法規用語。(修正條文第十四條)</w:t>
      </w:r>
    </w:p>
    <w:p w:rsidR="00397DBD" w:rsidRDefault="00397DBD" w:rsidP="00397DBD">
      <w:pPr>
        <w:spacing w:line="460" w:lineRule="exact"/>
        <w:ind w:left="616" w:hangingChars="220" w:hanging="616"/>
        <w:rPr>
          <w:rFonts w:ascii="標楷體" w:eastAsia="標楷體"/>
          <w:color w:val="000000"/>
          <w:sz w:val="28"/>
        </w:rPr>
      </w:pPr>
      <w:r>
        <w:rPr>
          <w:rFonts w:ascii="標楷體" w:eastAsia="標楷體" w:hint="eastAsia"/>
          <w:color w:val="000000"/>
          <w:sz w:val="28"/>
        </w:rPr>
        <w:t>五、配合行動寬頻業務之開放需要，增加第一項第九款相關規定。(修正條文第十九條)</w:t>
      </w:r>
    </w:p>
    <w:p w:rsidR="00397DBD" w:rsidRDefault="00397DBD" w:rsidP="00397DBD">
      <w:pPr>
        <w:spacing w:line="460" w:lineRule="exact"/>
        <w:ind w:left="616" w:hangingChars="220" w:hanging="616"/>
        <w:rPr>
          <w:rFonts w:ascii="標楷體" w:eastAsia="標楷體"/>
          <w:color w:val="000000"/>
          <w:sz w:val="28"/>
        </w:rPr>
      </w:pPr>
      <w:r>
        <w:rPr>
          <w:rFonts w:ascii="標楷體" w:eastAsia="標楷體" w:hint="eastAsia"/>
          <w:color w:val="000000"/>
          <w:sz w:val="28"/>
        </w:rPr>
        <w:t>六、為融入景觀美化之需，設置具輔助天線防護功能之格柵，視為基地臺之附屬電信設施。(修正條文第二十一條)</w:t>
      </w:r>
    </w:p>
    <w:p w:rsidR="00397DBD" w:rsidRDefault="00397DBD" w:rsidP="00397DBD">
      <w:pPr>
        <w:widowControl/>
        <w:rPr>
          <w:rFonts w:ascii="標楷體" w:eastAsia="標楷體"/>
          <w:color w:val="000000"/>
          <w:sz w:val="28"/>
        </w:rPr>
        <w:sectPr w:rsidR="00397DBD">
          <w:footerReference w:type="even" r:id="rId8"/>
          <w:footerReference w:type="default" r:id="rId9"/>
          <w:pgSz w:w="11906" w:h="16838"/>
          <w:pgMar w:top="1418" w:right="1418" w:bottom="1418" w:left="1701" w:header="851" w:footer="992" w:gutter="0"/>
          <w:cols w:space="720"/>
          <w:docGrid w:type="lines" w:linePitch="360"/>
        </w:sectPr>
      </w:pPr>
    </w:p>
    <w:p w:rsidR="00397DBD" w:rsidRDefault="00397DBD" w:rsidP="00397DBD">
      <w:pPr>
        <w:jc w:val="center"/>
        <w:rPr>
          <w:rFonts w:ascii="標楷體" w:eastAsia="標楷體" w:hAnsi="標楷體"/>
          <w:sz w:val="40"/>
          <w:szCs w:val="40"/>
        </w:rPr>
      </w:pPr>
      <w:r>
        <w:rPr>
          <w:rFonts w:ascii="標楷體" w:eastAsia="標楷體" w:hAnsi="標楷體" w:hint="eastAsia"/>
          <w:sz w:val="40"/>
          <w:szCs w:val="40"/>
        </w:rPr>
        <w:lastRenderedPageBreak/>
        <w:t>行動通信網路業務基地臺設置使用管理辦法</w:t>
      </w:r>
    </w:p>
    <w:p w:rsidR="00397DBD" w:rsidRDefault="00397DBD" w:rsidP="00397DBD">
      <w:pPr>
        <w:jc w:val="center"/>
        <w:rPr>
          <w:rFonts w:ascii="標楷體" w:eastAsia="標楷體" w:hAnsi="標楷體"/>
          <w:sz w:val="40"/>
          <w:szCs w:val="40"/>
        </w:rPr>
      </w:pPr>
      <w:r>
        <w:rPr>
          <w:rFonts w:ascii="標楷體" w:eastAsia="標楷體" w:hAnsi="標楷體" w:hint="eastAsia"/>
          <w:sz w:val="40"/>
          <w:szCs w:val="40"/>
        </w:rPr>
        <w:t>部分條文修正對照表</w:t>
      </w:r>
    </w:p>
    <w:p w:rsidR="00397DBD" w:rsidRDefault="00397DBD" w:rsidP="00397DBD">
      <w:pPr>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47"/>
        <w:gridCol w:w="2948"/>
        <w:gridCol w:w="2948"/>
      </w:tblGrid>
      <w:tr w:rsidR="00397DBD" w:rsidTr="00397DBD">
        <w:tc>
          <w:tcPr>
            <w:tcW w:w="1666" w:type="pct"/>
            <w:tcBorders>
              <w:top w:val="single" w:sz="4" w:space="0" w:color="auto"/>
              <w:left w:val="single" w:sz="4" w:space="0" w:color="auto"/>
              <w:bottom w:val="single" w:sz="4" w:space="0" w:color="auto"/>
              <w:right w:val="single" w:sz="4" w:space="0" w:color="auto"/>
            </w:tcBorders>
            <w:hideMark/>
          </w:tcPr>
          <w:p w:rsidR="00397DBD" w:rsidRDefault="00397DBD">
            <w:pPr>
              <w:tabs>
                <w:tab w:val="center" w:pos="1445"/>
                <w:tab w:val="right" w:pos="2891"/>
              </w:tabs>
              <w:jc w:val="center"/>
              <w:rPr>
                <w:rFonts w:ascii="標楷體" w:eastAsia="標楷體" w:hAnsi="標楷體"/>
              </w:rPr>
            </w:pPr>
            <w:r>
              <w:rPr>
                <w:rFonts w:ascii="標楷體" w:eastAsia="標楷體" w:hAnsi="標楷體" w:hint="eastAsia"/>
              </w:rPr>
              <w:t>修 正 條 文</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jc w:val="center"/>
              <w:rPr>
                <w:rFonts w:ascii="標楷體" w:eastAsia="標楷體" w:hAnsi="標楷體"/>
              </w:rPr>
            </w:pPr>
            <w:r>
              <w:rPr>
                <w:rFonts w:ascii="標楷體" w:eastAsia="標楷體" w:hAnsi="標楷體" w:hint="eastAsia"/>
              </w:rPr>
              <w:t>現 行 條 文</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jc w:val="center"/>
              <w:rPr>
                <w:rFonts w:ascii="標楷體" w:eastAsia="標楷體" w:hAnsi="標楷體"/>
              </w:rPr>
            </w:pPr>
            <w:r>
              <w:rPr>
                <w:rFonts w:ascii="標楷體" w:eastAsia="標楷體" w:hAnsi="標楷體" w:hint="eastAsia"/>
              </w:rPr>
              <w:t>說    明</w:t>
            </w:r>
          </w:p>
        </w:tc>
      </w:tr>
      <w:tr w:rsidR="00397DBD" w:rsidTr="00397DBD">
        <w:tc>
          <w:tcPr>
            <w:tcW w:w="1666"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第　三　條　本辦法名詞定義如下：</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一、行動通信：指利用無線電終端設備經由行動通信網路進行無線電通信。</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二、行動通信系統：指由行動通信交換設備、行動臺、基地臺、網路管理及帳務管理等設備所組成之通信系統。</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三、行動通信網路：指由行動通信系統及電信機線設備所構成之通信網路。</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四、行動通信網路業務：指電信法第十二條第六項行政院公告之業務。</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五、行動臺：指供行動通信網路業務（以下簡稱行動業務）使用之無線電終端設備。</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六、基地臺：指設置於陸地上具有構成無線電通信鏈路，供行動業務行動臺間或行動臺與非行動業務使用者通信之設備。</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七、得標者：依第四款業務所定各該管理規則相關規定認定之。</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八、經營者：指經主管機關特許並發給執照之行動業務者。</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九、使用者：指向經營者註冊登記，使用行動通信服務之用戶。</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十、室外基地臺：指天線之設置，主要供使用者於室外接取之基地臺。</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十一、室內基地臺：指天線</w:t>
            </w:r>
            <w:r>
              <w:rPr>
                <w:rFonts w:ascii="標楷體" w:eastAsia="標楷體" w:hAnsi="標楷體" w:cs="Arial" w:hint="eastAsia"/>
                <w:kern w:val="2"/>
                <w:szCs w:val="28"/>
              </w:rPr>
              <w:lastRenderedPageBreak/>
              <w:t>之設置，主要供使用者於室內接取之基地臺。</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十二、毫微微細胞接取點：指應用行動業務頻段，透過用戶端寬頻數據機與行動通信交換設備連線，供行動臺接取之低功率無線接取設備。</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十三、重大公共工程：指高速鐵路、鐵路、大眾捷運系統、高速公路、快速公路、航空站、港口、隧道或其他經主管機關認定供公眾使用且具一定規模之公共工程。</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十四、最大有效等向輻射功率：發射機</w:t>
            </w:r>
            <w:r>
              <w:rPr>
                <w:rFonts w:ascii="標楷體" w:eastAsia="標楷體" w:hAnsi="標楷體" w:cs="Arial" w:hint="eastAsia"/>
                <w:kern w:val="2"/>
                <w:szCs w:val="28"/>
                <w:u w:val="single"/>
              </w:rPr>
              <w:t>每一載波</w:t>
            </w:r>
            <w:r>
              <w:rPr>
                <w:rFonts w:ascii="標楷體" w:eastAsia="標楷體" w:hAnsi="標楷體" w:cs="Arial" w:hint="eastAsia"/>
                <w:kern w:val="2"/>
                <w:szCs w:val="28"/>
              </w:rPr>
              <w:t>傳輸到天線端之淨射頻功率和天線增益之乘積。</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十五、共站：指相同或不同行動業務經營者於同一棟建築物設置基地臺。</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十六、共構：指相同或不同行動業務經營者共用天線設置基地臺，或預留天線通信埠及機櫃空間供他業者設置基地臺。</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lastRenderedPageBreak/>
              <w:t>第　三　條　本辦法名詞定義如下：</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一、行動通信：指利用無線電終端設備經由行動通信網路進行無線電通信。</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二、行動通信系統：指由行動通信交換設備、行動臺、基地臺、網路管理及帳務管理等設備所組成之通信系統。</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三、行動通信網路：指由行動通信系統及電信機線設備所構成之通信網路。</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四、行動通信網路業務：指電信法第十二條第六項行政院公告之業務。</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五、行動臺：指供行動通信網路業務（以下簡稱行動業務）使用之無線電終端設備。</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六、基地臺：指設置於陸地上具有構成無線電通信鏈路，供行動業務行動臺間或行動臺與非行動業務使用者通信之設備。</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七、得標者：依第四款業務所定各該管理規則相關規定認定之。</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八、經營者：指經主管機關特許並發給執照之行動業務者。</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九、使用者：指向經營者註冊登記，使用行動通信服務之用戶。</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十、室外基地臺：指天線之設置，主要供使用者於室外接取之基地臺。</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十一、室內基地臺：指天線</w:t>
            </w:r>
            <w:r>
              <w:rPr>
                <w:rFonts w:ascii="標楷體" w:eastAsia="標楷體" w:hAnsi="標楷體" w:cs="Arial" w:hint="eastAsia"/>
                <w:kern w:val="2"/>
                <w:szCs w:val="28"/>
              </w:rPr>
              <w:lastRenderedPageBreak/>
              <w:t>之設置，主要供使用者於室內接取之基地臺。</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十二、毫微微細胞接取點：指應用行動業務頻段，透過用戶端寬頻數據機與行動通信交換設備連線，供行動臺接取之低功率無線接取設備。</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十三、重大公共工程：指高速鐵路、鐵路、大眾捷運系統、高速公路、快速公路、航空站、港口、隧道或其他經主管機關認定供公眾使用且具一定規模之公共工程。</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十四、最大有效等向輻射功率：發射機傳輸到天線端之淨射頻功率和天線增益之乘積。</w:t>
            </w:r>
          </w:p>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t>十五、共站：指相同或不同行動業務經營者於同一棟建築物設置基地臺。</w:t>
            </w:r>
          </w:p>
          <w:p w:rsidR="00397DBD" w:rsidRDefault="00397DBD">
            <w:pPr>
              <w:pStyle w:val="a9"/>
              <w:spacing w:before="0" w:beforeAutospacing="0" w:after="0" w:afterAutospacing="0"/>
              <w:ind w:left="240" w:hangingChars="100" w:hanging="240"/>
              <w:rPr>
                <w:rFonts w:ascii="標楷體" w:eastAsia="標楷體" w:hAnsi="標楷體"/>
                <w:kern w:val="2"/>
              </w:rPr>
            </w:pPr>
            <w:r>
              <w:rPr>
                <w:rFonts w:ascii="標楷體" w:eastAsia="標楷體" w:hAnsi="標楷體" w:cs="Arial" w:hint="eastAsia"/>
                <w:kern w:val="2"/>
                <w:szCs w:val="28"/>
              </w:rPr>
              <w:t>十六、共構：指相同或不同行動業務經營者共用天線設置基地臺，或預留天線通信埠及機櫃空間供他業者設置基地臺。</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ind w:left="511" w:hangingChars="213" w:hanging="511"/>
              <w:jc w:val="both"/>
              <w:rPr>
                <w:rFonts w:ascii="標楷體" w:eastAsia="標楷體" w:hAnsi="標楷體"/>
              </w:rPr>
            </w:pPr>
            <w:r>
              <w:rPr>
                <w:rFonts w:ascii="標楷體" w:eastAsia="標楷體" w:hAnsi="標楷體" w:hint="eastAsia"/>
              </w:rPr>
              <w:lastRenderedPageBreak/>
              <w:t>一、為使最大有效等向輻射功率之定義與現行基地臺技術審驗之施作有明確對應關係，爰修正第一項第十四款文字。</w:t>
            </w:r>
          </w:p>
          <w:p w:rsidR="00397DBD" w:rsidRDefault="00397DBD">
            <w:pPr>
              <w:ind w:left="511" w:hangingChars="213" w:hanging="511"/>
              <w:jc w:val="both"/>
              <w:rPr>
                <w:rFonts w:ascii="標楷體" w:eastAsia="標楷體" w:hAnsi="標楷體"/>
              </w:rPr>
            </w:pPr>
            <w:r>
              <w:rPr>
                <w:rFonts w:ascii="標楷體" w:eastAsia="標楷體" w:hAnsi="標楷體" w:hint="eastAsia"/>
              </w:rPr>
              <w:t>二、其餘未修正。</w:t>
            </w:r>
          </w:p>
        </w:tc>
      </w:tr>
      <w:tr w:rsidR="00397DBD" w:rsidTr="00397DBD">
        <w:tc>
          <w:tcPr>
            <w:tcW w:w="1666"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lastRenderedPageBreak/>
              <w:t>第　四　條　得標者或經營者非經取得電臺架設許可，不得設置基地臺，非經審驗合格發給電臺執照，不得使用。但為配合重大公共工程之建設，檢具重大公共工程或建物主管機關（構）書面同意函，經主管機關專案核准後，於取得架設許可前，得先行設置。</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rPr>
            </w:pPr>
            <w:r>
              <w:rPr>
                <w:rFonts w:ascii="標楷體" w:eastAsia="標楷體" w:hAnsi="標楷體" w:cs="Arial" w:hint="eastAsia"/>
                <w:kern w:val="2"/>
                <w:szCs w:val="28"/>
              </w:rPr>
              <w:t>得標者或經營者得將其經核准設置之行動業務</w:t>
            </w:r>
            <w:r>
              <w:rPr>
                <w:rFonts w:ascii="標楷體" w:eastAsia="標楷體" w:hAnsi="標楷體" w:cs="Arial" w:hint="eastAsia"/>
                <w:kern w:val="2"/>
                <w:szCs w:val="28"/>
                <w:u w:val="single"/>
              </w:rPr>
              <w:t>基地臺、</w:t>
            </w:r>
            <w:r>
              <w:rPr>
                <w:rFonts w:ascii="標楷體" w:eastAsia="標楷體" w:hAnsi="標楷體" w:cs="Arial" w:hint="eastAsia"/>
                <w:kern w:val="2"/>
                <w:szCs w:val="28"/>
              </w:rPr>
              <w:t>實驗研發網路所用之基地臺，或自其他行動業務</w:t>
            </w:r>
            <w:r>
              <w:rPr>
                <w:rFonts w:ascii="標楷體" w:eastAsia="標楷體" w:hAnsi="標楷體" w:cs="Arial" w:hint="eastAsia"/>
                <w:kern w:val="2"/>
                <w:szCs w:val="28"/>
                <w:u w:val="single"/>
              </w:rPr>
              <w:t>經營者、</w:t>
            </w:r>
            <w:r>
              <w:rPr>
                <w:rFonts w:ascii="標楷體" w:eastAsia="標楷體" w:hAnsi="標楷體" w:cs="Arial" w:hint="eastAsia"/>
                <w:kern w:val="2"/>
                <w:szCs w:val="28"/>
              </w:rPr>
              <w:t>實驗研發網路管理者受讓其</w:t>
            </w:r>
            <w:r>
              <w:rPr>
                <w:rFonts w:ascii="標楷體" w:eastAsia="標楷體" w:hAnsi="標楷體" w:cs="Arial" w:hint="eastAsia"/>
                <w:kern w:val="2"/>
                <w:szCs w:val="28"/>
              </w:rPr>
              <w:lastRenderedPageBreak/>
              <w:t>經核准設置之基地臺，移用為其系統網路之一部。其屬移用前後設置處所相同之設備者，於取得架設許可前，得免予拆除。</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lastRenderedPageBreak/>
              <w:t>第　四　條　得標者或經營者非經取得電臺架設許可，不得設置基地臺，非經審驗合格發給電臺執照，不得使用。但為配合重大公共工程之建設，檢具重大公共工程或建物主管機關（構）書面同意函，經主管機關專案核准後，於取得架設許可前，得先行設置。</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rPr>
            </w:pPr>
            <w:r>
              <w:rPr>
                <w:rFonts w:ascii="標楷體" w:eastAsia="標楷體" w:hAnsi="標楷體" w:cs="Arial" w:hint="eastAsia"/>
                <w:kern w:val="2"/>
                <w:szCs w:val="28"/>
              </w:rPr>
              <w:t>得標者或經營者得將其經核准設置之行動業務實驗研發網路所用之基地臺，或自其他行動業務實驗研發網路管理者受讓其經核准設置</w:t>
            </w:r>
            <w:r>
              <w:rPr>
                <w:rFonts w:ascii="標楷體" w:eastAsia="標楷體" w:hAnsi="標楷體" w:cs="Arial" w:hint="eastAsia"/>
                <w:kern w:val="2"/>
                <w:szCs w:val="28"/>
                <w:u w:val="single"/>
              </w:rPr>
              <w:t>之</w:t>
            </w:r>
            <w:r>
              <w:rPr>
                <w:rFonts w:ascii="標楷體" w:eastAsia="標楷體" w:hAnsi="標楷體" w:cs="Arial" w:hint="eastAsia"/>
                <w:kern w:val="2"/>
                <w:szCs w:val="28"/>
                <w:u w:val="single"/>
              </w:rPr>
              <w:lastRenderedPageBreak/>
              <w:t>行動業務實驗研發網路所用</w:t>
            </w:r>
            <w:r>
              <w:rPr>
                <w:rFonts w:ascii="標楷體" w:eastAsia="標楷體" w:hAnsi="標楷體" w:cs="Arial" w:hint="eastAsia"/>
                <w:kern w:val="2"/>
                <w:szCs w:val="28"/>
              </w:rPr>
              <w:t>之基地臺，移用為其系統網路之一部。其屬移用前後設置處所相同之設備者，於取得架設許可前，得免予拆除。</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rsidP="00397DBD">
            <w:pPr>
              <w:pStyle w:val="a8"/>
              <w:numPr>
                <w:ilvl w:val="0"/>
                <w:numId w:val="7"/>
              </w:numPr>
              <w:ind w:leftChars="0"/>
              <w:rPr>
                <w:rFonts w:ascii="標楷體" w:eastAsia="標楷體" w:hAnsi="標楷體"/>
              </w:rPr>
            </w:pPr>
            <w:r>
              <w:rPr>
                <w:rFonts w:ascii="標楷體" w:eastAsia="標楷體" w:hAnsi="標楷體" w:hint="eastAsia"/>
              </w:rPr>
              <w:lastRenderedPageBreak/>
              <w:t>為使行動業務經營者既設之基地臺，得以順利移轉為行動寬頻系統之一部，以減少社會成本之浪費，爰修正第二項規定。</w:t>
            </w:r>
          </w:p>
          <w:p w:rsidR="00397DBD" w:rsidRDefault="00397DBD" w:rsidP="00397DBD">
            <w:pPr>
              <w:pStyle w:val="a8"/>
              <w:numPr>
                <w:ilvl w:val="0"/>
                <w:numId w:val="7"/>
              </w:numPr>
              <w:ind w:leftChars="0"/>
              <w:rPr>
                <w:rFonts w:ascii="標楷體" w:eastAsia="標楷體" w:hAnsi="標楷體"/>
              </w:rPr>
            </w:pPr>
            <w:r>
              <w:rPr>
                <w:rFonts w:ascii="標楷體" w:eastAsia="標楷體" w:hAnsi="標楷體" w:hint="eastAsia"/>
              </w:rPr>
              <w:t>其餘未修正。</w:t>
            </w:r>
          </w:p>
        </w:tc>
      </w:tr>
      <w:tr w:rsidR="00397DBD" w:rsidTr="00397DBD">
        <w:tc>
          <w:tcPr>
            <w:tcW w:w="1666"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hint="eastAsia"/>
                <w:kern w:val="2"/>
              </w:rPr>
              <w:lastRenderedPageBreak/>
              <w:t>第九條</w:t>
            </w:r>
            <w:r>
              <w:rPr>
                <w:rFonts w:ascii="標楷體" w:eastAsia="標楷體" w:hAnsi="標楷體" w:cs="Arial" w:hint="eastAsia"/>
                <w:kern w:val="2"/>
                <w:szCs w:val="28"/>
              </w:rPr>
              <w:t xml:space="preserve">　得標者或經營者應先檢具毫微微細胞接取點序號清單</w:t>
            </w:r>
            <w:r>
              <w:rPr>
                <w:rFonts w:ascii="標楷體" w:eastAsia="標楷體" w:hAnsi="標楷體" w:cs="Arial" w:hint="eastAsia"/>
                <w:kern w:val="2"/>
                <w:szCs w:val="28"/>
                <w:u w:val="single"/>
              </w:rPr>
              <w:t>及相關規格資料</w:t>
            </w:r>
            <w:r>
              <w:rPr>
                <w:rFonts w:ascii="標楷體" w:eastAsia="標楷體" w:hAnsi="標楷體" w:cs="Arial" w:hint="eastAsia"/>
                <w:kern w:val="2"/>
                <w:szCs w:val="28"/>
              </w:rPr>
              <w:t>函送主管機關進行抽驗，</w:t>
            </w:r>
            <w:r>
              <w:rPr>
                <w:rFonts w:ascii="標楷體" w:eastAsia="標楷體" w:hAnsi="標楷體" w:cs="Arial" w:hint="eastAsia"/>
                <w:kern w:val="2"/>
                <w:szCs w:val="28"/>
                <w:u w:val="single"/>
              </w:rPr>
              <w:t>免申請架設許可。</w:t>
            </w:r>
            <w:r>
              <w:rPr>
                <w:rFonts w:ascii="標楷體" w:eastAsia="標楷體" w:hAnsi="標楷體" w:cs="Arial" w:hint="eastAsia"/>
                <w:kern w:val="2"/>
                <w:szCs w:val="28"/>
              </w:rPr>
              <w:t>經主管機關</w:t>
            </w:r>
            <w:r>
              <w:rPr>
                <w:rFonts w:ascii="標楷體" w:eastAsia="標楷體" w:hAnsi="標楷體" w:cs="Arial" w:hint="eastAsia"/>
                <w:kern w:val="2"/>
                <w:szCs w:val="28"/>
                <w:u w:val="single"/>
              </w:rPr>
              <w:t>審驗合格發給電臺執照後，</w:t>
            </w:r>
            <w:r>
              <w:rPr>
                <w:rFonts w:ascii="標楷體" w:eastAsia="標楷體" w:hAnsi="標楷體" w:cs="Arial" w:hint="eastAsia"/>
                <w:kern w:val="2"/>
                <w:szCs w:val="28"/>
              </w:rPr>
              <w:t>該批毫微微細胞接取點始得</w:t>
            </w:r>
            <w:r>
              <w:rPr>
                <w:rFonts w:ascii="標楷體" w:eastAsia="標楷體" w:hAnsi="標楷體" w:cs="Arial" w:hint="eastAsia"/>
                <w:kern w:val="2"/>
                <w:szCs w:val="28"/>
                <w:u w:val="single"/>
              </w:rPr>
              <w:t>使用</w:t>
            </w:r>
            <w:r>
              <w:rPr>
                <w:rFonts w:ascii="標楷體" w:eastAsia="標楷體" w:hAnsi="標楷體" w:cs="Arial" w:hint="eastAsia"/>
                <w:kern w:val="2"/>
                <w:szCs w:val="28"/>
              </w:rPr>
              <w:t>。抽驗數量如附表二之減量檢驗。</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rPr>
            </w:pPr>
            <w:r>
              <w:rPr>
                <w:rFonts w:ascii="標楷體" w:eastAsia="標楷體" w:hAnsi="標楷體" w:cs="Arial" w:hint="eastAsia"/>
                <w:kern w:val="2"/>
                <w:szCs w:val="28"/>
              </w:rPr>
              <w:t>前項之審驗，得標者或經營者應將抽樣之毫微微細胞接取點，送至主管機關或經主管機關同意之地點進行審驗。</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rPr>
            </w:pPr>
            <w:r>
              <w:rPr>
                <w:rFonts w:ascii="標楷體" w:eastAsia="標楷體" w:hAnsi="標楷體" w:cs="Arial" w:hint="eastAsia"/>
                <w:kern w:val="2"/>
                <w:szCs w:val="28"/>
              </w:rPr>
              <w:t>得標者或經營者應於前項主管機關擇定之審驗地點，預先備妥審驗所須之用戶端寬頻數據機，並完成與行動通信交換設備連線設定。</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u w:val="single"/>
              </w:rPr>
            </w:pPr>
            <w:r>
              <w:rPr>
                <w:rFonts w:ascii="標楷體" w:eastAsia="標楷體" w:hAnsi="標楷體" w:cs="Arial" w:hint="eastAsia"/>
                <w:kern w:val="2"/>
                <w:szCs w:val="28"/>
                <w:u w:val="single"/>
              </w:rPr>
              <w:t>得標者或經營者應於每月底前，將取得電臺執照之毫微微細胞接取點已架設地點清單送主管機關備查，主管機關得視需要抽查，得標者或經營者不得拒絕。</w:t>
            </w:r>
          </w:p>
          <w:p w:rsidR="00397DBD" w:rsidRDefault="00397DBD">
            <w:pPr>
              <w:pStyle w:val="a9"/>
              <w:snapToGrid w:val="0"/>
              <w:spacing w:before="0" w:beforeAutospacing="0" w:after="0" w:afterAutospacing="0"/>
              <w:ind w:leftChars="116" w:left="278" w:firstLine="480"/>
              <w:rPr>
                <w:rFonts w:ascii="標楷體" w:eastAsia="標楷體" w:hAnsi="標楷體"/>
                <w:u w:val="single"/>
              </w:rPr>
            </w:pPr>
            <w:r>
              <w:rPr>
                <w:rFonts w:ascii="標楷體" w:eastAsia="標楷體" w:hAnsi="標楷體" w:hint="eastAsia"/>
                <w:u w:val="single"/>
              </w:rPr>
              <w:t>毫微微細胞接取點之架設許可及電臺執照等相關事項，不適用第四條第一項、第六條及第八條之規定。得標者或經營者無須申請換發電臺執照，但毫微微細胞接取點毀損或終止使用時，其執照之所有人應即報請主管機關於該電臺執照註記。</w:t>
            </w:r>
          </w:p>
          <w:p w:rsidR="00397DBD" w:rsidRDefault="00397DBD">
            <w:pPr>
              <w:pStyle w:val="031"/>
              <w:adjustRightInd w:val="0"/>
              <w:snapToGrid w:val="0"/>
              <w:spacing w:before="0" w:beforeAutospacing="0" w:after="0" w:afterAutospacing="0"/>
              <w:ind w:leftChars="98" w:left="235" w:firstLineChars="200" w:firstLine="480"/>
              <w:jc w:val="both"/>
              <w:rPr>
                <w:rFonts w:ascii="標楷體" w:eastAsia="標楷體" w:hAnsi="標楷體"/>
                <w:kern w:val="2"/>
              </w:rPr>
            </w:pPr>
            <w:r>
              <w:rPr>
                <w:rFonts w:ascii="標楷體" w:eastAsia="標楷體" w:hAnsi="標楷體" w:cs="Arial" w:hint="eastAsia"/>
                <w:kern w:val="2"/>
                <w:szCs w:val="28"/>
                <w:u w:val="single"/>
              </w:rPr>
              <w:lastRenderedPageBreak/>
              <w:t>每紙電臺執照以登載十個毫微微細胞接取點序號為上限。</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hint="eastAsia"/>
                <w:kern w:val="2"/>
              </w:rPr>
              <w:lastRenderedPageBreak/>
              <w:t xml:space="preserve">第九條  </w:t>
            </w:r>
            <w:r>
              <w:rPr>
                <w:rFonts w:ascii="標楷體" w:eastAsia="標楷體" w:hAnsi="標楷體" w:cs="Arial" w:hint="eastAsia"/>
                <w:kern w:val="2"/>
                <w:szCs w:val="28"/>
              </w:rPr>
              <w:t>得標者或經營者應先檢具毫微微細胞接取點序號清單函送主管機關進行抽驗，經主管機關</w:t>
            </w:r>
            <w:r>
              <w:rPr>
                <w:rFonts w:ascii="標楷體" w:eastAsia="標楷體" w:hAnsi="標楷體" w:cs="Arial" w:hint="eastAsia"/>
                <w:kern w:val="2"/>
                <w:szCs w:val="28"/>
                <w:u w:val="single"/>
              </w:rPr>
              <w:t>通知</w:t>
            </w:r>
            <w:r>
              <w:rPr>
                <w:rFonts w:ascii="標楷體" w:eastAsia="標楷體" w:hAnsi="標楷體" w:cs="Arial" w:hint="eastAsia"/>
                <w:kern w:val="2"/>
                <w:szCs w:val="28"/>
              </w:rPr>
              <w:t>審驗合格</w:t>
            </w:r>
            <w:r>
              <w:rPr>
                <w:rFonts w:ascii="標楷體" w:eastAsia="標楷體" w:hAnsi="標楷體" w:cs="Arial" w:hint="eastAsia"/>
                <w:kern w:val="2"/>
                <w:szCs w:val="28"/>
                <w:u w:val="single"/>
              </w:rPr>
              <w:t>後</w:t>
            </w:r>
            <w:r>
              <w:rPr>
                <w:rFonts w:ascii="標楷體" w:eastAsia="標楷體" w:hAnsi="標楷體" w:cs="Arial" w:hint="eastAsia"/>
                <w:kern w:val="2"/>
                <w:szCs w:val="28"/>
              </w:rPr>
              <w:t>，該批毫微微細胞接取點始得申請架設許可。抽驗數量如附表二之減量檢驗。</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rPr>
            </w:pPr>
            <w:r>
              <w:rPr>
                <w:rFonts w:ascii="標楷體" w:eastAsia="標楷體" w:hAnsi="標楷體" w:cs="Arial" w:hint="eastAsia"/>
                <w:kern w:val="2"/>
                <w:szCs w:val="28"/>
              </w:rPr>
              <w:t>前項之審驗，得標者或經營者應將抽樣之毫微微細胞接取點，送至主管機關或經主管機關同意之地點進行審驗。</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rPr>
            </w:pPr>
            <w:r>
              <w:rPr>
                <w:rFonts w:ascii="標楷體" w:eastAsia="標楷體" w:hAnsi="標楷體" w:cs="Arial" w:hint="eastAsia"/>
                <w:kern w:val="2"/>
                <w:szCs w:val="28"/>
              </w:rPr>
              <w:t>得標者或經營者應於前項主管機關擇定之審驗地點，預先備妥審驗所須之用戶端寬頻數據機，並完成與行動通信交換設備連線設定。</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u w:val="single"/>
              </w:rPr>
            </w:pPr>
            <w:r>
              <w:rPr>
                <w:rFonts w:ascii="標楷體" w:eastAsia="標楷體" w:hAnsi="標楷體" w:cs="Arial" w:hint="eastAsia"/>
                <w:kern w:val="2"/>
                <w:szCs w:val="28"/>
                <w:u w:val="single"/>
              </w:rPr>
              <w:t>得標者或經營者應檢具下列文件，向主管機關申請毫微微細胞接取點架設許可，經審查合格後，由主管機關核發架設許可：</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u w:val="single"/>
              </w:rPr>
            </w:pPr>
            <w:r>
              <w:rPr>
                <w:rFonts w:ascii="標楷體" w:eastAsia="標楷體" w:hAnsi="標楷體" w:cs="Arial" w:hint="eastAsia"/>
                <w:kern w:val="2"/>
                <w:szCs w:val="28"/>
                <w:u w:val="single"/>
              </w:rPr>
              <w:t>一、電臺設置申請表及相關規格資料。</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u w:val="single"/>
              </w:rPr>
            </w:pPr>
            <w:r>
              <w:rPr>
                <w:rFonts w:ascii="標楷體" w:eastAsia="標楷體" w:hAnsi="標楷體" w:cs="Arial" w:hint="eastAsia"/>
                <w:kern w:val="2"/>
                <w:szCs w:val="28"/>
                <w:u w:val="single"/>
              </w:rPr>
              <w:t>二、電臺架設切結書。</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u w:val="single"/>
              </w:rPr>
            </w:pPr>
            <w:r>
              <w:rPr>
                <w:rFonts w:ascii="標楷體" w:eastAsia="標楷體" w:hAnsi="標楷體" w:cs="Arial" w:hint="eastAsia"/>
                <w:kern w:val="2"/>
                <w:szCs w:val="28"/>
                <w:u w:val="single"/>
              </w:rPr>
              <w:t>三、電臺架設序號清單。</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u w:val="single"/>
              </w:rPr>
            </w:pPr>
            <w:r>
              <w:rPr>
                <w:rFonts w:ascii="標楷體" w:eastAsia="標楷體" w:hAnsi="標楷體" w:cs="Arial" w:hint="eastAsia"/>
                <w:kern w:val="2"/>
                <w:szCs w:val="28"/>
                <w:u w:val="single"/>
              </w:rPr>
              <w:t>四、抽驗合格函影本。</w:t>
            </w:r>
          </w:p>
          <w:p w:rsidR="00397DBD" w:rsidRDefault="00397DBD">
            <w:pPr>
              <w:pStyle w:val="a9"/>
              <w:spacing w:before="0" w:beforeAutospacing="0" w:after="0" w:afterAutospacing="0"/>
              <w:ind w:leftChars="116" w:left="278" w:firstLineChars="200" w:firstLine="480"/>
              <w:rPr>
                <w:rFonts w:ascii="標楷體" w:eastAsia="標楷體" w:hAnsi="標楷體" w:cs="Arial"/>
                <w:kern w:val="2"/>
                <w:szCs w:val="28"/>
                <w:u w:val="single"/>
              </w:rPr>
            </w:pPr>
            <w:r>
              <w:rPr>
                <w:rFonts w:ascii="標楷體" w:eastAsia="標楷體" w:hAnsi="標楷體" w:cs="Arial" w:hint="eastAsia"/>
                <w:kern w:val="2"/>
                <w:szCs w:val="28"/>
                <w:u w:val="single"/>
              </w:rPr>
              <w:t>得標者或經營者於取得架設許可，並完成毫微微細胞接取點架設後，應檢具電臺執照申請文件，向主管機關申請核發電臺執照。</w:t>
            </w:r>
          </w:p>
          <w:p w:rsidR="00397DBD" w:rsidRDefault="00397DBD">
            <w:pPr>
              <w:pStyle w:val="031"/>
              <w:adjustRightInd w:val="0"/>
              <w:snapToGrid w:val="0"/>
              <w:spacing w:before="0" w:beforeAutospacing="0" w:after="0" w:afterAutospacing="0"/>
              <w:ind w:leftChars="98" w:left="235" w:firstLineChars="200" w:firstLine="480"/>
              <w:jc w:val="both"/>
              <w:rPr>
                <w:rFonts w:ascii="標楷體" w:eastAsia="標楷體" w:hAnsi="標楷體"/>
                <w:kern w:val="2"/>
              </w:rPr>
            </w:pPr>
            <w:r>
              <w:rPr>
                <w:rFonts w:ascii="標楷體" w:eastAsia="標楷體" w:hAnsi="標楷體" w:cs="Arial" w:hint="eastAsia"/>
                <w:kern w:val="2"/>
                <w:szCs w:val="28"/>
              </w:rPr>
              <w:t>毫微微細胞接取點之架設許可及電臺執照有效</w:t>
            </w:r>
            <w:r>
              <w:rPr>
                <w:rFonts w:ascii="標楷體" w:eastAsia="標楷體" w:hAnsi="標楷體" w:cs="Arial" w:hint="eastAsia"/>
                <w:kern w:val="2"/>
                <w:szCs w:val="28"/>
              </w:rPr>
              <w:lastRenderedPageBreak/>
              <w:t>期間等相關事項，</w:t>
            </w:r>
            <w:r>
              <w:rPr>
                <w:rFonts w:ascii="標楷體" w:eastAsia="標楷體" w:hAnsi="標楷體" w:cs="Arial" w:hint="eastAsia"/>
                <w:kern w:val="2"/>
                <w:szCs w:val="28"/>
                <w:u w:val="single"/>
              </w:rPr>
              <w:t>適用第六條及第八條之規定。</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ind w:left="511" w:hangingChars="213" w:hanging="511"/>
              <w:jc w:val="both"/>
              <w:rPr>
                <w:rFonts w:ascii="標楷體" w:eastAsia="標楷體" w:hAnsi="標楷體" w:cs="Arial"/>
              </w:rPr>
            </w:pPr>
            <w:r>
              <w:rPr>
                <w:rFonts w:ascii="標楷體" w:eastAsia="標楷體" w:hAnsi="標楷體" w:cs="Arial" w:hint="eastAsia"/>
              </w:rPr>
              <w:lastRenderedPageBreak/>
              <w:t>一、考量</w:t>
            </w:r>
            <w:r>
              <w:rPr>
                <w:rFonts w:ascii="標楷體" w:eastAsia="標楷體" w:hAnsi="標楷體" w:cs="Arial" w:hint="eastAsia"/>
                <w:szCs w:val="28"/>
              </w:rPr>
              <w:t>毫微微細胞接取點與Wi-Fi接取點僅使用頻段不同，發射功率及網路架構相當類似，為利經營者使用毫微微細胞接取點布建行動寬頻上網基礎建設</w:t>
            </w:r>
            <w:r>
              <w:rPr>
                <w:rFonts w:ascii="標楷體" w:eastAsia="標楷體" w:hAnsi="標楷體" w:cs="Arial" w:hint="eastAsia"/>
              </w:rPr>
              <w:t>，爰修正第一項，明定毫微微細胞接取點之設置使用，免申請架設許可，但仍須取得電臺執照始得使用。</w:t>
            </w:r>
          </w:p>
          <w:p w:rsidR="00397DBD" w:rsidRDefault="00397DBD">
            <w:pPr>
              <w:ind w:left="511" w:hangingChars="213" w:hanging="511"/>
              <w:jc w:val="both"/>
              <w:rPr>
                <w:rFonts w:ascii="標楷體" w:eastAsia="標楷體" w:hAnsi="標楷體" w:cs="Arial"/>
              </w:rPr>
            </w:pPr>
            <w:r>
              <w:rPr>
                <w:rFonts w:ascii="標楷體" w:eastAsia="標楷體" w:hAnsi="標楷體" w:cs="Arial" w:hint="eastAsia"/>
              </w:rPr>
              <w:t>二、配合第一項規定之內容修正，修正第四項</w:t>
            </w:r>
            <w:r>
              <w:rPr>
                <w:rFonts w:ascii="標楷體" w:eastAsia="標楷體" w:hAnsi="標楷體" w:hint="eastAsia"/>
              </w:rPr>
              <w:t>規定</w:t>
            </w:r>
            <w:r>
              <w:rPr>
                <w:rFonts w:ascii="標楷體" w:eastAsia="標楷體" w:hAnsi="標楷體" w:cs="Arial" w:hint="eastAsia"/>
              </w:rPr>
              <w:t>，明定電信事業應定期提報建置清單供主管機關備查。</w:t>
            </w:r>
          </w:p>
          <w:p w:rsidR="00397DBD" w:rsidRDefault="00397DBD">
            <w:pPr>
              <w:ind w:left="511" w:hangingChars="213" w:hanging="511"/>
              <w:jc w:val="both"/>
              <w:rPr>
                <w:rFonts w:ascii="標楷體" w:eastAsia="標楷體" w:hAnsi="標楷體"/>
              </w:rPr>
            </w:pPr>
            <w:r>
              <w:rPr>
                <w:rFonts w:ascii="標楷體" w:eastAsia="標楷體" w:hAnsi="標楷體" w:cs="Arial" w:hint="eastAsia"/>
              </w:rPr>
              <w:t>三、毫微微細胞接取點電臺執照採單一執照登載十個序號為上限，且電臺執照免申請換發，以利快速提升室內與家戶內之行動通訊品質，爰修正第五項及第六項</w:t>
            </w:r>
            <w:r>
              <w:rPr>
                <w:rFonts w:ascii="標楷體" w:eastAsia="標楷體" w:hAnsi="標楷體" w:hint="eastAsia"/>
              </w:rPr>
              <w:t>規定</w:t>
            </w:r>
            <w:r>
              <w:rPr>
                <w:rFonts w:ascii="標楷體" w:eastAsia="標楷體" w:hAnsi="標楷體" w:cs="Arial" w:hint="eastAsia"/>
              </w:rPr>
              <w:t>。</w:t>
            </w:r>
          </w:p>
        </w:tc>
      </w:tr>
      <w:tr w:rsidR="00397DBD" w:rsidTr="00397DBD">
        <w:tc>
          <w:tcPr>
            <w:tcW w:w="1666"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hint="eastAsia"/>
                <w:kern w:val="2"/>
              </w:rPr>
              <w:lastRenderedPageBreak/>
              <w:t>第</w:t>
            </w:r>
            <w:r>
              <w:rPr>
                <w:rFonts w:ascii="標楷體" w:eastAsia="標楷體" w:hAnsi="標楷體" w:cs="Arial" w:hint="eastAsia"/>
                <w:kern w:val="2"/>
                <w:szCs w:val="28"/>
              </w:rPr>
              <w:t>十四</w:t>
            </w:r>
            <w:r>
              <w:rPr>
                <w:rFonts w:ascii="標楷體" w:eastAsia="標楷體" w:hAnsi="標楷體" w:hint="eastAsia"/>
                <w:kern w:val="2"/>
              </w:rPr>
              <w:t>條</w:t>
            </w:r>
            <w:r>
              <w:rPr>
                <w:rFonts w:ascii="標楷體" w:eastAsia="標楷體" w:hAnsi="標楷體" w:cs="Arial" w:hint="eastAsia"/>
                <w:kern w:val="2"/>
                <w:szCs w:val="28"/>
              </w:rPr>
              <w:t xml:space="preserve">　室外基地臺天線申請架設於建築物屋頂者，其天線之設置高度及方向，應確保其水平方向正前方十五公尺內不得有高於天線之合法建築物。</w:t>
            </w:r>
          </w:p>
          <w:p w:rsidR="00397DBD" w:rsidRDefault="00397DBD">
            <w:pPr>
              <w:pStyle w:val="a9"/>
              <w:spacing w:before="0" w:beforeAutospacing="0" w:after="0" w:afterAutospacing="0"/>
              <w:ind w:leftChars="116" w:left="278" w:firstLineChars="200" w:firstLine="480"/>
              <w:rPr>
                <w:rFonts w:ascii="標楷體" w:eastAsia="標楷體" w:hAnsi="標楷體"/>
                <w:kern w:val="2"/>
              </w:rPr>
            </w:pPr>
            <w:r>
              <w:rPr>
                <w:rFonts w:ascii="標楷體" w:eastAsia="標楷體" w:hAnsi="標楷體" w:cs="Arial" w:hint="eastAsia"/>
                <w:kern w:val="2"/>
                <w:szCs w:val="28"/>
              </w:rPr>
              <w:t>基地臺天線輸入端之射頻功率大於二瓦者，其為室外電波涵蓋所設置之天線不得架設於</w:t>
            </w:r>
            <w:r>
              <w:rPr>
                <w:rFonts w:ascii="標楷體" w:eastAsia="標楷體" w:hAnsi="標楷體" w:cs="Arial" w:hint="eastAsia"/>
                <w:kern w:val="2"/>
                <w:szCs w:val="28"/>
                <w:u w:val="single"/>
              </w:rPr>
              <w:t>室</w:t>
            </w:r>
            <w:r>
              <w:rPr>
                <w:rFonts w:ascii="標楷體" w:eastAsia="標楷體" w:hAnsi="標楷體" w:cs="Arial" w:hint="eastAsia"/>
                <w:kern w:val="2"/>
                <w:szCs w:val="28"/>
              </w:rPr>
              <w:t>內。</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hint="eastAsia"/>
                <w:kern w:val="2"/>
              </w:rPr>
              <w:t>第</w:t>
            </w:r>
            <w:r>
              <w:rPr>
                <w:rFonts w:ascii="標楷體" w:eastAsia="標楷體" w:hAnsi="標楷體" w:cs="Arial" w:hint="eastAsia"/>
                <w:kern w:val="2"/>
                <w:szCs w:val="28"/>
              </w:rPr>
              <w:t>十四</w:t>
            </w:r>
            <w:r>
              <w:rPr>
                <w:rFonts w:ascii="標楷體" w:eastAsia="標楷體" w:hAnsi="標楷體" w:hint="eastAsia"/>
                <w:kern w:val="2"/>
              </w:rPr>
              <w:t xml:space="preserve">條  </w:t>
            </w:r>
            <w:r>
              <w:rPr>
                <w:rFonts w:ascii="標楷體" w:eastAsia="標楷體" w:hAnsi="標楷體" w:cs="Arial" w:hint="eastAsia"/>
                <w:kern w:val="2"/>
                <w:szCs w:val="28"/>
              </w:rPr>
              <w:t>室外基地臺天線申請架設於建築物屋頂者，其天線之設置高度及方向，應確保其水平方向正前方十五公尺內不得有高於天線之合法建築物。</w:t>
            </w:r>
          </w:p>
          <w:p w:rsidR="00397DBD" w:rsidRDefault="00397DBD">
            <w:pPr>
              <w:pStyle w:val="a9"/>
              <w:spacing w:before="0" w:beforeAutospacing="0" w:after="0" w:afterAutospacing="0"/>
              <w:ind w:leftChars="116" w:left="278" w:firstLineChars="200" w:firstLine="480"/>
              <w:rPr>
                <w:rFonts w:ascii="標楷體" w:eastAsia="標楷體" w:hAnsi="標楷體"/>
                <w:kern w:val="2"/>
              </w:rPr>
            </w:pPr>
            <w:r>
              <w:rPr>
                <w:rFonts w:ascii="標楷體" w:eastAsia="標楷體" w:hAnsi="標楷體" w:cs="Arial" w:hint="eastAsia"/>
                <w:kern w:val="2"/>
                <w:szCs w:val="28"/>
              </w:rPr>
              <w:t>基地臺天線輸入端之射頻功率大於二瓦者，其為室外電波涵蓋所設置之天線不得架設於</w:t>
            </w:r>
            <w:r>
              <w:rPr>
                <w:rFonts w:ascii="標楷體" w:eastAsia="標楷體" w:hAnsi="標楷體" w:cs="Arial" w:hint="eastAsia"/>
                <w:kern w:val="2"/>
                <w:szCs w:val="28"/>
                <w:u w:val="single"/>
              </w:rPr>
              <w:t>建築物</w:t>
            </w:r>
            <w:r>
              <w:rPr>
                <w:rFonts w:ascii="標楷體" w:eastAsia="標楷體" w:hAnsi="標楷體" w:cs="Arial" w:hint="eastAsia"/>
                <w:kern w:val="2"/>
                <w:szCs w:val="28"/>
              </w:rPr>
              <w:t>內。</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ind w:left="511" w:hangingChars="213" w:hanging="511"/>
              <w:jc w:val="both"/>
              <w:rPr>
                <w:rFonts w:ascii="標楷體" w:eastAsia="標楷體" w:hAnsi="標楷體"/>
              </w:rPr>
            </w:pPr>
            <w:r>
              <w:rPr>
                <w:rFonts w:ascii="標楷體" w:eastAsia="標楷體" w:hAnsi="標楷體" w:cs="Arial" w:hint="eastAsia"/>
              </w:rPr>
              <w:t>一、</w:t>
            </w:r>
            <w:r>
              <w:rPr>
                <w:rFonts w:ascii="標楷體" w:eastAsia="標楷體" w:hAnsi="標楷體" w:hint="eastAsia"/>
              </w:rPr>
              <w:t>配合內政部營建署之建築法規用語，修正第二項規定。</w:t>
            </w:r>
          </w:p>
          <w:p w:rsidR="00397DBD" w:rsidRDefault="00397DBD">
            <w:pPr>
              <w:ind w:left="511" w:hangingChars="213" w:hanging="511"/>
              <w:jc w:val="both"/>
              <w:rPr>
                <w:rFonts w:ascii="標楷體" w:eastAsia="標楷體" w:hAnsi="標楷體" w:cs="Arial"/>
              </w:rPr>
            </w:pPr>
            <w:r>
              <w:rPr>
                <w:rFonts w:ascii="標楷體" w:eastAsia="標楷體" w:hAnsi="標楷體" w:hint="eastAsia"/>
              </w:rPr>
              <w:t>二、其餘未修正。</w:t>
            </w:r>
          </w:p>
        </w:tc>
      </w:tr>
      <w:tr w:rsidR="00397DBD" w:rsidTr="00397DBD">
        <w:tc>
          <w:tcPr>
            <w:tcW w:w="1666" w:type="pct"/>
            <w:tcBorders>
              <w:top w:val="single" w:sz="4" w:space="0" w:color="auto"/>
              <w:left w:val="single" w:sz="4" w:space="0" w:color="auto"/>
              <w:bottom w:val="single" w:sz="4" w:space="0" w:color="auto"/>
              <w:right w:val="single" w:sz="4" w:space="0" w:color="auto"/>
            </w:tcBorders>
            <w:hideMark/>
          </w:tcPr>
          <w:p w:rsidR="00397DBD" w:rsidRDefault="00397DBD">
            <w:pPr>
              <w:ind w:left="240" w:hangingChars="100" w:hanging="240"/>
              <w:jc w:val="both"/>
              <w:rPr>
                <w:rFonts w:ascii="標楷體" w:eastAsia="標楷體" w:hAnsi="標楷體"/>
              </w:rPr>
            </w:pPr>
            <w:r>
              <w:rPr>
                <w:rFonts w:ascii="標楷體" w:eastAsia="標楷體" w:hAnsi="標楷體" w:hint="eastAsia"/>
              </w:rPr>
              <w:t>第十七條　經營者應於共構比例起算日起，使其共構基地臺數量占基地臺建設總數之比例，至少達下列標準：</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一、於一年內達百分之五。</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二、於二年內達百分之十。</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三、於三年內達百分之十二。</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四、於四年內達百分之十四。</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五、於五年內達百分之十六。</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六、於六年內達百分之十八。</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七、於七年內達百分之二十。</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數位式低功率無線電話、中繼式無線電通信、行動數據通信、無線電叫人及</w:t>
            </w:r>
            <w:r>
              <w:rPr>
                <w:rFonts w:ascii="標楷體" w:eastAsia="標楷體" w:hAnsi="標楷體" w:cs="Arial" w:hint="eastAsia"/>
                <w:szCs w:val="28"/>
                <w:u w:val="single"/>
              </w:rPr>
              <w:t>1900MHz</w:t>
            </w:r>
            <w:r>
              <w:rPr>
                <w:rFonts w:ascii="標楷體" w:eastAsia="標楷體" w:hAnsi="標楷體" w:hint="eastAsia"/>
              </w:rPr>
              <w:t>數位式低功率無線電話等業務之基地臺，不適用前項之規定；行動電話業務之基地臺，不適用前項第三款至第七款之規定；無線寬頻接取業務之基地臺，不適用前項第五款至第七款之規</w:t>
            </w:r>
            <w:r>
              <w:rPr>
                <w:rFonts w:ascii="標楷體" w:eastAsia="標楷體" w:hAnsi="標楷體" w:hint="eastAsia"/>
              </w:rPr>
              <w:lastRenderedPageBreak/>
              <w:t>定。</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僅經營第三代行動通信之單一業務者，不適用第一項第五款至第七款之規定。</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經營者如有天線因素致無法與他業者共構基地臺，應於取得特許執照之日起，使其共站基地臺數量占基地臺建設總數，於一年內達百分之十，於二年內達百分之二十。</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基地臺架設於政府機關（構）之公有建物或土地時，應以共構或共站方式為之。</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毫微微細胞接取點不列入基地臺共站與共構比例之計算。</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第一項之共構比例起算日如下：</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一、行動電話業務為九十二年一月一日，但限於新建基地臺。</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二、第三代行動通信業務為九十六年一月一日。</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三、無線寬頻接取業務為本辦法發布日次年</w:t>
            </w:r>
            <w:smartTag w:uri="urn:schemas-microsoft-com:office:smarttags" w:element="chsdate">
              <w:smartTagPr>
                <w:attr w:name="IsROCDate" w:val="False"/>
                <w:attr w:name="IsLunarDate" w:val="False"/>
                <w:attr w:name="Day" w:val="1"/>
                <w:attr w:name="Month" w:val="1"/>
                <w:attr w:name="Year" w:val="2010"/>
              </w:smartTagPr>
              <w:r>
                <w:rPr>
                  <w:rFonts w:ascii="標楷體" w:eastAsia="標楷體" w:hAnsi="標楷體" w:hint="eastAsia"/>
                </w:rPr>
                <w:t>一月一日</w:t>
              </w:r>
            </w:smartTag>
            <w:r>
              <w:rPr>
                <w:rFonts w:ascii="標楷體" w:eastAsia="標楷體" w:hAnsi="標楷體" w:hint="eastAsia"/>
              </w:rPr>
              <w:t>。</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ind w:left="240" w:hangingChars="100" w:hanging="240"/>
              <w:jc w:val="both"/>
              <w:rPr>
                <w:rFonts w:ascii="標楷體" w:eastAsia="標楷體" w:hAnsi="標楷體"/>
              </w:rPr>
            </w:pPr>
            <w:r>
              <w:rPr>
                <w:rFonts w:ascii="標楷體" w:eastAsia="標楷體" w:hAnsi="標楷體" w:hint="eastAsia"/>
              </w:rPr>
              <w:lastRenderedPageBreak/>
              <w:t>第十七條　經營者應於共構比例起算日起，使其共構基地臺數量占基地臺建設總數之比例，至少達下列標準：</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一、於一年內達百分之五。</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二、於二年內達百分之十。</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三、於三年內達百分之十二。</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四、於四年內達百分之十四。</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五、於五年內達百分之十六。</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六、於六年內達百分之十八。</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七、於七年內達百分之二十。</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數位式低功率無線電話、中繼式無線電通信、行動數據通信、無線電叫人及一九○○兆赫數位式低功率無線電話等業務之基地臺，不適用前項之規定；行動電話業務之基地臺，不適用前項第三款至第七款之規定；無線寬頻接取業務之基地臺，不適用前項第五款至第七款之</w:t>
            </w:r>
            <w:r>
              <w:rPr>
                <w:rFonts w:ascii="標楷體" w:eastAsia="標楷體" w:hAnsi="標楷體" w:hint="eastAsia"/>
              </w:rPr>
              <w:lastRenderedPageBreak/>
              <w:t>規定。</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僅經營第三代行動通信之單一業務者，不適用第一項第五款至第七款之規定。</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經營者如有天線因素致無法與他業者共構基地臺，應於取得特許執照之日起，使其共站基地臺數量占基地臺建設總數，於一年內達百分之十，於二年內達百分之二十。</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基地臺架設於政府機關（構）之公有建物或土地時，應以共構或共站方式為之。</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毫微微細胞接取點不列入基地臺共站與共構比例之計算。</w:t>
            </w:r>
          </w:p>
          <w:p w:rsidR="00397DBD" w:rsidRDefault="00397DBD">
            <w:pPr>
              <w:ind w:leftChars="91" w:left="218" w:firstLineChars="200" w:firstLine="480"/>
              <w:jc w:val="both"/>
              <w:rPr>
                <w:rFonts w:ascii="標楷體" w:eastAsia="標楷體" w:hAnsi="標楷體"/>
              </w:rPr>
            </w:pPr>
            <w:r>
              <w:rPr>
                <w:rFonts w:ascii="標楷體" w:eastAsia="標楷體" w:hAnsi="標楷體" w:hint="eastAsia"/>
              </w:rPr>
              <w:t>第一項之共構比例起算日如下：</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一、行動電話業務為九十二年一月一日，但限於新建基地臺。</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二、第三代行動通信業務為九十六年一月一日。</w:t>
            </w:r>
          </w:p>
          <w:p w:rsidR="00397DBD" w:rsidRDefault="00397DBD">
            <w:pPr>
              <w:ind w:leftChars="91" w:left="698" w:hangingChars="200" w:hanging="480"/>
              <w:jc w:val="both"/>
              <w:rPr>
                <w:rFonts w:ascii="標楷體" w:eastAsia="標楷體" w:hAnsi="標楷體"/>
              </w:rPr>
            </w:pPr>
            <w:r>
              <w:rPr>
                <w:rFonts w:ascii="標楷體" w:eastAsia="標楷體" w:hAnsi="標楷體" w:hint="eastAsia"/>
              </w:rPr>
              <w:t>三、無線寬頻接取業務為本辦法發布日次年</w:t>
            </w:r>
            <w:smartTag w:uri="urn:schemas-microsoft-com:office:smarttags" w:element="chsdate">
              <w:smartTagPr>
                <w:attr w:name="IsROCDate" w:val="False"/>
                <w:attr w:name="IsLunarDate" w:val="False"/>
                <w:attr w:name="Day" w:val="1"/>
                <w:attr w:name="Month" w:val="1"/>
                <w:attr w:name="Year" w:val="2010"/>
              </w:smartTagPr>
              <w:r>
                <w:rPr>
                  <w:rFonts w:ascii="標楷體" w:eastAsia="標楷體" w:hAnsi="標楷體" w:hint="eastAsia"/>
                </w:rPr>
                <w:t>一月一日</w:t>
              </w:r>
            </w:smartTag>
            <w:r>
              <w:rPr>
                <w:rFonts w:ascii="標楷體" w:eastAsia="標楷體" w:hAnsi="標楷體" w:hint="eastAsia"/>
              </w:rPr>
              <w:t>。</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ind w:left="511" w:hangingChars="213" w:hanging="511"/>
              <w:rPr>
                <w:rFonts w:ascii="標楷體" w:eastAsia="標楷體" w:hAnsi="標楷體"/>
              </w:rPr>
            </w:pPr>
            <w:r>
              <w:rPr>
                <w:rFonts w:ascii="標楷體" w:eastAsia="標楷體" w:hAnsi="標楷體" w:hint="eastAsia"/>
              </w:rPr>
              <w:lastRenderedPageBreak/>
              <w:t>一、依行政院最新公告之第一類電信事業開放之業務項目、範圍、時程及家數一覽表業務範圍用語，修正第二項之一九○○兆赫為1900MHz。</w:t>
            </w:r>
          </w:p>
          <w:p w:rsidR="00397DBD" w:rsidRDefault="00397DBD">
            <w:pPr>
              <w:ind w:left="511" w:hangingChars="213" w:hanging="511"/>
              <w:jc w:val="both"/>
              <w:rPr>
                <w:rFonts w:ascii="標楷體" w:eastAsia="標楷體" w:hAnsi="標楷體" w:cs="Arial"/>
              </w:rPr>
            </w:pPr>
            <w:r>
              <w:rPr>
                <w:rFonts w:ascii="標楷體" w:eastAsia="標楷體" w:hAnsi="標楷體" w:hint="eastAsia"/>
              </w:rPr>
              <w:t>二、其餘未修正。</w:t>
            </w:r>
          </w:p>
        </w:tc>
      </w:tr>
      <w:tr w:rsidR="00397DBD" w:rsidTr="00397DBD">
        <w:tc>
          <w:tcPr>
            <w:tcW w:w="1666"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cs="Arial" w:hint="eastAsia"/>
                <w:kern w:val="2"/>
                <w:szCs w:val="28"/>
              </w:rPr>
              <w:lastRenderedPageBreak/>
              <w:t>第 十九 條　行動業務設置之基地臺應遵守下列標準：</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一、數位式低功率無線電話：</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（一）最大射頻輸出功率為10mW。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（二）最大電磁波功率密度：0.4mW/cm²。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二、中繼式無線電通信：</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（一）收發異頻。</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（二）最大有效等向輻射功率為125W。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lastRenderedPageBreak/>
              <w:t>（三）頻率穩定度：500MHz頻段為±2.5ppm；800MHz頻段為±1.5ppm。</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三、行動數據通信：</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（一）收發異頻。</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（二）最大有效等向輻射功率為125W。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（三）頻率穩定度：500MHz頻段為±2.5ppm；800MHz頻段為±1.5ppm。</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四、無線電叫人：</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（一）284.5MHz至285.5MHz：最大有效等向輻射功率為100W；頻率穩定度為±0.05ppm（每</w:t>
            </w:r>
            <w:r>
              <w:rPr>
                <w:rFonts w:ascii="標楷體" w:eastAsia="標楷體" w:hAnsi="標楷體" w:cs="Arial" w:hint="eastAsia"/>
                <w:kern w:val="2"/>
                <w:szCs w:val="28"/>
                <w:u w:val="single"/>
              </w:rPr>
              <w:t>MHz</w:t>
            </w:r>
            <w:r>
              <w:rPr>
                <w:rFonts w:ascii="標楷體" w:eastAsia="標楷體" w:hAnsi="標楷體" w:cs="Arial" w:hint="eastAsia"/>
                <w:kern w:val="2"/>
                <w:szCs w:val="28"/>
              </w:rPr>
              <w:t>頻率誤差）；最大電磁波功率密度為0.2mW/cm²。</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（二）280.5MHz至281.5MHz：最大有效等向輻射功率為500W；頻率穩定度為±0.5ppm；最大電磁波功率密度為0.2mW/cm²。</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（三）165.25MHz至166.975MHz：最大有效等向輻射功率為1600W；頻率穩定度為±0.3ppm；最大電磁波功率密度為0.2mW/cm²。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五、行動電話：</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（一）收發異頻。</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lastRenderedPageBreak/>
              <w:t>（二）最大有效等向輻射功率為500W。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（三）頻率穩定度為±1ppm。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（四）最大電磁波功率密度：900MHz頻段為0.45mW/cm²；1800MHz頻段為0.9mW/cm²。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六、</w:t>
            </w:r>
            <w:r>
              <w:rPr>
                <w:rFonts w:ascii="標楷體" w:eastAsia="標楷體" w:hAnsi="標楷體" w:cs="Arial" w:hint="eastAsia"/>
                <w:kern w:val="2"/>
                <w:szCs w:val="28"/>
                <w:u w:val="single"/>
              </w:rPr>
              <w:t>1900MHz</w:t>
            </w:r>
            <w:r>
              <w:rPr>
                <w:rFonts w:ascii="標楷體" w:eastAsia="標楷體" w:hAnsi="標楷體" w:cs="Arial" w:hint="eastAsia"/>
                <w:kern w:val="2"/>
                <w:szCs w:val="28"/>
              </w:rPr>
              <w:t>數位式低功率無線電話：</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（一）最大有效等向輻射功率為32W。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（二）頻率穩定度為±3ppm。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（三）最大電磁波功率密度：0.95mW/cm²。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七、第三代行動通信：</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（一）最大有效等向輻射功率為500W。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（二）頻率穩定度為±1ppm。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（三）最大電磁波功率密度：800MHz頻段為0.4mW/cm²；2000MHz頻段為1.0mW/cm²。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八、無線寬頻接取：</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（一）最大有效等向輻射功率為500W。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（二）頻率穩定度為±1ppm。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（三）最大電磁波功率密度：1.0mW/cm²。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u w:val="single"/>
              </w:rPr>
            </w:pPr>
            <w:r>
              <w:rPr>
                <w:rFonts w:ascii="標楷體" w:eastAsia="標楷體" w:hAnsi="標楷體" w:cs="Arial" w:hint="eastAsia"/>
                <w:kern w:val="2"/>
                <w:szCs w:val="28"/>
                <w:u w:val="single"/>
              </w:rPr>
              <w:t>九、行動寬頻：</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u w:val="single"/>
              </w:rPr>
            </w:pPr>
            <w:r>
              <w:rPr>
                <w:rFonts w:ascii="標楷體" w:eastAsia="標楷體" w:hAnsi="標楷體" w:cs="Arial" w:hint="eastAsia"/>
                <w:kern w:val="2"/>
                <w:szCs w:val="28"/>
                <w:u w:val="single"/>
              </w:rPr>
              <w:t>（一）最大有效等向輻射功率為500W。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u w:val="single"/>
              </w:rPr>
            </w:pPr>
            <w:r>
              <w:rPr>
                <w:rFonts w:ascii="標楷體" w:eastAsia="標楷體" w:hAnsi="標楷體" w:cs="Arial" w:hint="eastAsia"/>
                <w:kern w:val="2"/>
                <w:szCs w:val="28"/>
                <w:u w:val="single"/>
              </w:rPr>
              <w:t>（二）頻率穩定度為±1ppm。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u w:val="single"/>
              </w:rPr>
            </w:pPr>
            <w:r>
              <w:rPr>
                <w:rFonts w:ascii="標楷體" w:eastAsia="標楷體" w:hAnsi="標楷體" w:cs="Arial" w:hint="eastAsia"/>
                <w:kern w:val="2"/>
                <w:szCs w:val="28"/>
                <w:u w:val="single"/>
              </w:rPr>
              <w:t>（三）最大電磁波功率</w:t>
            </w:r>
            <w:r>
              <w:rPr>
                <w:rFonts w:ascii="標楷體" w:eastAsia="標楷體" w:hAnsi="標楷體" w:cs="Arial" w:hint="eastAsia"/>
                <w:kern w:val="2"/>
                <w:szCs w:val="28"/>
                <w:u w:val="single"/>
              </w:rPr>
              <w:lastRenderedPageBreak/>
              <w:t>密度：700MHz頻段為0.35mW/cm²；900MHz頻段為0.45mW/cm²；1800MHz頻段為0.9mW/cm²。</w:t>
            </w:r>
          </w:p>
          <w:p w:rsidR="00397DBD" w:rsidRDefault="00397DBD">
            <w:pPr>
              <w:pStyle w:val="a9"/>
              <w:spacing w:before="0" w:beforeAutospacing="0" w:after="0" w:afterAutospacing="0"/>
              <w:ind w:leftChars="116" w:left="278" w:firstLineChars="200" w:firstLine="480"/>
              <w:rPr>
                <w:rFonts w:ascii="標楷體" w:eastAsia="標楷體" w:hAnsi="標楷體"/>
                <w:kern w:val="2"/>
              </w:rPr>
            </w:pPr>
            <w:r>
              <w:rPr>
                <w:rFonts w:ascii="標楷體" w:eastAsia="標楷體" w:hAnsi="標楷體" w:cs="Arial" w:hint="eastAsia"/>
                <w:kern w:val="2"/>
                <w:szCs w:val="28"/>
              </w:rPr>
              <w:t>違反第一項規定者，應依主管機關之通知期限改善之。</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pStyle w:val="a9"/>
              <w:spacing w:before="0" w:beforeAutospacing="0" w:after="0" w:afterAutospacing="0"/>
              <w:ind w:left="240" w:hangingChars="100" w:hanging="240"/>
              <w:rPr>
                <w:rFonts w:ascii="標楷體" w:eastAsia="標楷體" w:hAnsi="標楷體" w:cs="Arial"/>
                <w:kern w:val="2"/>
                <w:szCs w:val="28"/>
              </w:rPr>
            </w:pPr>
            <w:r>
              <w:rPr>
                <w:rFonts w:ascii="標楷體" w:eastAsia="標楷體" w:hAnsi="標楷體" w:hint="eastAsia"/>
                <w:kern w:val="2"/>
              </w:rPr>
              <w:lastRenderedPageBreak/>
              <w:t xml:space="preserve">第 </w:t>
            </w:r>
            <w:r>
              <w:rPr>
                <w:rFonts w:ascii="標楷體" w:eastAsia="標楷體" w:hAnsi="標楷體" w:cs="Arial" w:hint="eastAsia"/>
                <w:kern w:val="2"/>
                <w:szCs w:val="28"/>
              </w:rPr>
              <w:t xml:space="preserve">十九 </w:t>
            </w:r>
            <w:r>
              <w:rPr>
                <w:rFonts w:ascii="標楷體" w:eastAsia="標楷體" w:hAnsi="標楷體" w:hint="eastAsia"/>
                <w:kern w:val="2"/>
              </w:rPr>
              <w:t>條</w:t>
            </w:r>
            <w:r>
              <w:rPr>
                <w:rFonts w:ascii="標楷體" w:eastAsia="標楷體" w:hAnsi="標楷體" w:cs="Arial" w:hint="eastAsia"/>
                <w:kern w:val="2"/>
                <w:szCs w:val="28"/>
              </w:rPr>
              <w:t xml:space="preserve">　行動業務設置之基地臺應遵守下列標準：</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一、數位式低功率無線電話：</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（一）最大射頻輸出功率為10mW。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（二）最大電磁波功率密度：0.4mW/cm²。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二、中繼式無線電通信：</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（一）收發異頻。</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（二）最大有效等向輻射功率為125W。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lastRenderedPageBreak/>
              <w:t>（三）頻率穩定度：500MHz頻段為±2.5ppm；800MHz頻段為±1.5ppm。</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三、行動數據通信：</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（一）收發異頻。</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（二）最大有效等向輻射功率為125W。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（三）頻率穩定度：500MHz頻段為±2.5ppm；800MHz頻段為±1.5ppm。</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四、無線電叫人：</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（一）284.5MHz至285.5MHz：最大有效等向輻射功率為100W；頻率穩定度為±0.05ppm（每兆赫頻率誤差）；最大電磁波功率密度為0.2mW/cm²。</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（二）280.5MHz至281.5MHz：最大有效等向輻射功率為500W；頻率穩定度為±0.5ppm；最大電磁波功率密度為0.2mW/cm²。</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（三）165.25MHz至166.975MHz：最大有效等向輻射功率為1600W；頻率穩定度為±0.3ppm；最大電磁波功率密度為0.2mW/cm²。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五、行動電話：</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（一）收發異頻。</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lastRenderedPageBreak/>
              <w:t>（二）最大有效等向輻射功率為500W。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（三）頻率穩定度為±1ppm。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（四）最大電磁波功率密度：900MHz頻段為0.45mW/cm²；1800MHz頻段為0.9mW/cm²。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六、一九○○兆赫數位式低功率無線電話：</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（一）最大有效等向輻射功率為32W。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（二）頻率穩定度為±3ppm。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（三）最大電磁波功率密度：0.95mW/cm²。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七、第三代行動通信：</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（一）最大有效等向輻射功率為500W。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（二）頻率穩定度為±1ppm。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（三）最大電磁波功率密度：800MHz頻段為0.4mW/cm²；2000MHz頻段為1.0mW/cm²。</w:t>
            </w:r>
          </w:p>
          <w:p w:rsidR="00397DBD" w:rsidRDefault="00397DBD">
            <w:pPr>
              <w:pStyle w:val="a9"/>
              <w:spacing w:before="0" w:beforeAutospacing="0" w:after="0" w:afterAutospacing="0"/>
              <w:ind w:leftChars="116" w:left="758" w:hangingChars="200" w:hanging="480"/>
              <w:rPr>
                <w:rFonts w:ascii="標楷體" w:eastAsia="標楷體" w:hAnsi="標楷體" w:cs="Arial"/>
                <w:kern w:val="2"/>
                <w:szCs w:val="28"/>
              </w:rPr>
            </w:pPr>
            <w:r>
              <w:rPr>
                <w:rFonts w:ascii="標楷體" w:eastAsia="標楷體" w:hAnsi="標楷體" w:cs="Arial" w:hint="eastAsia"/>
                <w:kern w:val="2"/>
                <w:szCs w:val="28"/>
              </w:rPr>
              <w:t>八、無線寬頻接取：</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（一）最大有效等向輻射功率為500W。</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（二）頻率穩定度為±1ppm。</w:t>
            </w:r>
          </w:p>
          <w:p w:rsidR="00397DBD" w:rsidRDefault="00397DBD">
            <w:pPr>
              <w:pStyle w:val="a9"/>
              <w:spacing w:before="0" w:beforeAutospacing="0" w:after="0" w:afterAutospacing="0"/>
              <w:ind w:leftChars="236" w:left="1291" w:hangingChars="302" w:hanging="725"/>
              <w:rPr>
                <w:rFonts w:ascii="標楷體" w:eastAsia="標楷體" w:hAnsi="標楷體" w:cs="Arial"/>
                <w:kern w:val="2"/>
                <w:szCs w:val="28"/>
              </w:rPr>
            </w:pPr>
            <w:r>
              <w:rPr>
                <w:rFonts w:ascii="標楷體" w:eastAsia="標楷體" w:hAnsi="標楷體" w:cs="Arial" w:hint="eastAsia"/>
                <w:kern w:val="2"/>
                <w:szCs w:val="28"/>
              </w:rPr>
              <w:t>（三）最大電磁波功率密度：1.0mW/cm²。</w:t>
            </w:r>
          </w:p>
          <w:p w:rsidR="00397DBD" w:rsidRDefault="00397DBD">
            <w:pPr>
              <w:pStyle w:val="031"/>
              <w:adjustRightInd w:val="0"/>
              <w:snapToGrid w:val="0"/>
              <w:spacing w:before="0" w:beforeAutospacing="0" w:after="0" w:afterAutospacing="0"/>
              <w:ind w:leftChars="98" w:left="235" w:firstLineChars="200" w:firstLine="480"/>
              <w:jc w:val="both"/>
              <w:rPr>
                <w:rFonts w:ascii="標楷體" w:eastAsia="標楷體" w:hAnsi="標楷體"/>
                <w:kern w:val="2"/>
              </w:rPr>
            </w:pPr>
            <w:r>
              <w:rPr>
                <w:rFonts w:ascii="標楷體" w:eastAsia="標楷體" w:hAnsi="標楷體" w:cs="Arial" w:hint="eastAsia"/>
                <w:kern w:val="2"/>
                <w:szCs w:val="28"/>
              </w:rPr>
              <w:t>違反第一項規定者，應依主管機關之通知期限改善之。</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ind w:left="511" w:hangingChars="213" w:hanging="511"/>
              <w:jc w:val="both"/>
              <w:rPr>
                <w:rFonts w:ascii="標楷體" w:eastAsia="標楷體" w:hAnsi="標楷體"/>
              </w:rPr>
            </w:pPr>
            <w:r>
              <w:rPr>
                <w:rFonts w:ascii="標楷體" w:eastAsia="標楷體" w:hAnsi="標楷體" w:cs="Arial" w:hint="eastAsia"/>
              </w:rPr>
              <w:lastRenderedPageBreak/>
              <w:t>一、</w:t>
            </w:r>
            <w:r>
              <w:rPr>
                <w:rFonts w:ascii="標楷體" w:eastAsia="標楷體" w:hAnsi="標楷體" w:hint="eastAsia"/>
              </w:rPr>
              <w:t>依行政院最新公告之第一類電信事業開放之業務項目、範圍、時程及家數一覽表業務範圍用語，修正第一項第四款</w:t>
            </w:r>
            <w:r>
              <w:rPr>
                <w:rFonts w:ascii="標楷體" w:eastAsia="標楷體" w:hAnsi="標楷體" w:cs="Arial" w:hint="eastAsia"/>
              </w:rPr>
              <w:t>及第</w:t>
            </w:r>
            <w:r>
              <w:rPr>
                <w:rFonts w:ascii="標楷體" w:eastAsia="標楷體" w:hAnsi="標楷體" w:hint="eastAsia"/>
              </w:rPr>
              <w:t>六款之一九○○兆赫為1900MHz。</w:t>
            </w:r>
          </w:p>
          <w:p w:rsidR="00397DBD" w:rsidRDefault="00397DBD">
            <w:pPr>
              <w:ind w:left="511" w:hangingChars="213" w:hanging="511"/>
              <w:jc w:val="both"/>
              <w:rPr>
                <w:rFonts w:ascii="標楷體" w:eastAsia="標楷體" w:hAnsi="標楷體"/>
              </w:rPr>
            </w:pPr>
            <w:r>
              <w:rPr>
                <w:rFonts w:ascii="標楷體" w:eastAsia="標楷體" w:hAnsi="標楷體" w:hint="eastAsia"/>
              </w:rPr>
              <w:t>二、</w:t>
            </w:r>
            <w:r>
              <w:rPr>
                <w:rFonts w:ascii="標楷體" w:eastAsia="標楷體" w:hAnsi="標楷體" w:cs="Arial" w:hint="eastAsia"/>
              </w:rPr>
              <w:t>為</w:t>
            </w:r>
            <w:r>
              <w:rPr>
                <w:rFonts w:ascii="標楷體" w:eastAsia="標楷體" w:hAnsi="標楷體" w:hint="eastAsia"/>
              </w:rPr>
              <w:t>因應行動寬頻業務之開放，爰增訂第一項第九款規定。</w:t>
            </w:r>
          </w:p>
          <w:p w:rsidR="00397DBD" w:rsidRDefault="00397DBD">
            <w:pPr>
              <w:ind w:left="511" w:hangingChars="213" w:hanging="511"/>
              <w:jc w:val="both"/>
              <w:rPr>
                <w:rFonts w:ascii="標楷體" w:eastAsia="標楷體" w:hAnsi="標楷體" w:cs="Arial"/>
              </w:rPr>
            </w:pPr>
            <w:r>
              <w:rPr>
                <w:rFonts w:ascii="標楷體" w:eastAsia="標楷體" w:hAnsi="標楷體" w:hint="eastAsia"/>
              </w:rPr>
              <w:t>三、其餘未修正。</w:t>
            </w:r>
          </w:p>
        </w:tc>
      </w:tr>
      <w:tr w:rsidR="00397DBD" w:rsidTr="00397DBD">
        <w:tc>
          <w:tcPr>
            <w:tcW w:w="1666" w:type="pct"/>
            <w:tcBorders>
              <w:top w:val="single" w:sz="4" w:space="0" w:color="auto"/>
              <w:left w:val="single" w:sz="4" w:space="0" w:color="auto"/>
              <w:bottom w:val="single" w:sz="4" w:space="0" w:color="auto"/>
              <w:right w:val="single" w:sz="4" w:space="0" w:color="auto"/>
            </w:tcBorders>
            <w:hideMark/>
          </w:tcPr>
          <w:p w:rsidR="00397DBD" w:rsidRDefault="00397DBD">
            <w:pPr>
              <w:spacing w:line="300" w:lineRule="atLeast"/>
              <w:ind w:left="240" w:hangingChars="100" w:hanging="240"/>
              <w:jc w:val="both"/>
              <w:rPr>
                <w:rFonts w:ascii="標楷體" w:eastAsia="標楷體" w:hAnsi="標楷體"/>
                <w:b/>
                <w:bCs/>
                <w:sz w:val="36"/>
                <w:szCs w:val="36"/>
              </w:rPr>
            </w:pPr>
            <w:r>
              <w:rPr>
                <w:rFonts w:ascii="標楷體" w:eastAsia="標楷體" w:hAnsi="標楷體" w:cs="Arial" w:hint="eastAsia"/>
                <w:szCs w:val="28"/>
              </w:rPr>
              <w:lastRenderedPageBreak/>
              <w:t xml:space="preserve">第 二十一 條　</w:t>
            </w:r>
            <w:r>
              <w:rPr>
                <w:rFonts w:ascii="標楷體" w:eastAsia="標楷體" w:hAnsi="標楷體" w:hint="eastAsia"/>
              </w:rPr>
              <w:t>得標者或經營者如以共站或共構方式設置天線，應注意排列方式，融入景觀</w:t>
            </w:r>
            <w:r>
              <w:rPr>
                <w:rFonts w:ascii="標楷體" w:eastAsia="標楷體" w:hAnsi="標楷體" w:hint="eastAsia"/>
                <w:sz w:val="28"/>
                <w:szCs w:val="28"/>
              </w:rPr>
              <w:t>。</w:t>
            </w:r>
          </w:p>
          <w:p w:rsidR="00397DBD" w:rsidRDefault="00397DBD">
            <w:pPr>
              <w:pStyle w:val="a9"/>
              <w:spacing w:before="0" w:beforeAutospacing="0" w:after="0" w:afterAutospacing="0"/>
              <w:ind w:leftChars="116" w:left="278" w:firstLineChars="200" w:firstLine="480"/>
              <w:rPr>
                <w:rFonts w:ascii="標楷體" w:eastAsia="標楷體" w:hAnsi="標楷體"/>
              </w:rPr>
            </w:pPr>
            <w:r>
              <w:rPr>
                <w:rFonts w:ascii="標楷體" w:eastAsia="標楷體" w:hAnsi="標楷體" w:cs="Arial" w:hint="eastAsia"/>
                <w:kern w:val="2"/>
                <w:szCs w:val="28"/>
              </w:rPr>
              <w:t>基地</w:t>
            </w:r>
            <w:r>
              <w:rPr>
                <w:rFonts w:ascii="標楷體" w:eastAsia="標楷體" w:hAnsi="標楷體" w:hint="eastAsia"/>
              </w:rPr>
              <w:t>臺天線設置之避雷針，以共用為原則。</w:t>
            </w:r>
          </w:p>
          <w:p w:rsidR="00397DBD" w:rsidRDefault="00397DBD">
            <w:pPr>
              <w:pStyle w:val="a9"/>
              <w:spacing w:before="0" w:beforeAutospacing="0" w:after="0" w:afterAutospacing="0"/>
              <w:ind w:leftChars="116" w:left="278" w:firstLineChars="200" w:firstLine="480"/>
              <w:rPr>
                <w:rFonts w:ascii="標楷體" w:eastAsia="標楷體" w:hAnsi="標楷體" w:cs="Arial"/>
                <w:szCs w:val="28"/>
              </w:rPr>
            </w:pPr>
            <w:r>
              <w:rPr>
                <w:rFonts w:ascii="標楷體" w:eastAsia="標楷體" w:hAnsi="標楷體" w:cs="Arial" w:hint="eastAsia"/>
                <w:szCs w:val="28"/>
                <w:u w:val="single"/>
              </w:rPr>
              <w:t>基地臺具輔助天線防護功能之格柵，視為基地臺之附屬電信設施</w:t>
            </w:r>
            <w:r>
              <w:rPr>
                <w:rFonts w:ascii="標楷體" w:eastAsia="標楷體" w:hAnsi="標楷體" w:hint="eastAsia"/>
              </w:rPr>
              <w:t>。</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spacing w:line="300" w:lineRule="atLeast"/>
              <w:ind w:left="240" w:hangingChars="100" w:hanging="240"/>
              <w:jc w:val="both"/>
              <w:rPr>
                <w:rFonts w:ascii="標楷體" w:eastAsia="標楷體" w:hAnsi="標楷體"/>
              </w:rPr>
            </w:pPr>
            <w:r>
              <w:rPr>
                <w:rFonts w:ascii="標楷體" w:eastAsia="標楷體" w:hAnsi="標楷體" w:cs="Arial" w:hint="eastAsia"/>
                <w:szCs w:val="28"/>
              </w:rPr>
              <w:t xml:space="preserve">第 二十一 條　</w:t>
            </w:r>
            <w:r>
              <w:rPr>
                <w:rFonts w:ascii="標楷體" w:eastAsia="標楷體" w:hAnsi="標楷體" w:hint="eastAsia"/>
              </w:rPr>
              <w:t>得標者或經營者如以共站或共構方式設置天線，應注意天線排列方式，融入景觀。</w:t>
            </w:r>
          </w:p>
          <w:p w:rsidR="00397DBD" w:rsidRDefault="00397DBD">
            <w:pPr>
              <w:pStyle w:val="a9"/>
              <w:spacing w:before="0" w:beforeAutospacing="0" w:after="0" w:afterAutospacing="0"/>
              <w:ind w:leftChars="116" w:left="278" w:firstLineChars="200" w:firstLine="480"/>
              <w:rPr>
                <w:rFonts w:ascii="標楷體" w:eastAsia="標楷體" w:hAnsi="標楷體"/>
                <w:kern w:val="2"/>
              </w:rPr>
            </w:pPr>
            <w:r>
              <w:rPr>
                <w:rFonts w:ascii="標楷體" w:eastAsia="標楷體" w:hAnsi="標楷體" w:hint="eastAsia"/>
              </w:rPr>
              <w:t>基地臺天線設置之避雷針，以共用為原則。</w:t>
            </w:r>
          </w:p>
        </w:tc>
        <w:tc>
          <w:tcPr>
            <w:tcW w:w="1667" w:type="pct"/>
            <w:tcBorders>
              <w:top w:val="single" w:sz="4" w:space="0" w:color="auto"/>
              <w:left w:val="single" w:sz="4" w:space="0" w:color="auto"/>
              <w:bottom w:val="single" w:sz="4" w:space="0" w:color="auto"/>
              <w:right w:val="single" w:sz="4" w:space="0" w:color="auto"/>
            </w:tcBorders>
            <w:hideMark/>
          </w:tcPr>
          <w:p w:rsidR="00397DBD" w:rsidRDefault="00397DBD">
            <w:pPr>
              <w:ind w:left="511" w:hangingChars="213" w:hanging="511"/>
              <w:jc w:val="both"/>
              <w:rPr>
                <w:rFonts w:ascii="標楷體" w:eastAsia="標楷體" w:hAnsi="標楷體"/>
              </w:rPr>
            </w:pPr>
            <w:r>
              <w:rPr>
                <w:rFonts w:ascii="標楷體" w:eastAsia="標楷體" w:hAnsi="標楷體" w:cs="Arial" w:hint="eastAsia"/>
              </w:rPr>
              <w:t>一、</w:t>
            </w:r>
            <w:r>
              <w:rPr>
                <w:rFonts w:ascii="標楷體" w:eastAsia="標楷體" w:hAnsi="標楷體" w:hint="eastAsia"/>
              </w:rPr>
              <w:t>基於行動通信已成為生活中不可或缺的一部分，基地臺天線林立，更成為現代生活的景觀之一，除天線與避雷針之外，本於融入景觀之需，加入輔助電信設施主體相關防護功能之格柵，視為電信基礎設施之一部分，爰增訂第三項規定。</w:t>
            </w:r>
          </w:p>
          <w:p w:rsidR="00397DBD" w:rsidRDefault="00397DBD">
            <w:pPr>
              <w:ind w:left="511" w:hangingChars="213" w:hanging="511"/>
              <w:jc w:val="both"/>
              <w:rPr>
                <w:rFonts w:ascii="標楷體" w:eastAsia="標楷體" w:hAnsi="標楷體" w:cs="Arial"/>
              </w:rPr>
            </w:pPr>
            <w:r>
              <w:rPr>
                <w:rFonts w:ascii="標楷體" w:eastAsia="標楷體" w:hAnsi="標楷體" w:hint="eastAsia"/>
              </w:rPr>
              <w:t>二、其餘未修正。</w:t>
            </w:r>
          </w:p>
        </w:tc>
      </w:tr>
    </w:tbl>
    <w:p w:rsidR="006A7948" w:rsidRDefault="006A7948">
      <w:pPr>
        <w:snapToGrid w:val="0"/>
        <w:jc w:val="both"/>
        <w:rPr>
          <w:rFonts w:ascii="Arial" w:hAnsi="Arial" w:cs="Arial"/>
          <w:color w:val="FF0000"/>
          <w:sz w:val="52"/>
        </w:rPr>
      </w:pPr>
    </w:p>
    <w:sectPr w:rsidR="006A7948" w:rsidSect="006D0570">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2F0" w:rsidRDefault="007A62F0">
      <w:r>
        <w:separator/>
      </w:r>
    </w:p>
  </w:endnote>
  <w:endnote w:type="continuationSeparator" w:id="1">
    <w:p w:rsidR="007A62F0" w:rsidRDefault="007A6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74" w:rsidRDefault="00D83742" w:rsidP="00A8473C">
    <w:pPr>
      <w:pStyle w:val="a4"/>
      <w:framePr w:wrap="around" w:vAnchor="text" w:hAnchor="margin" w:xAlign="center" w:y="1"/>
      <w:rPr>
        <w:rStyle w:val="a5"/>
      </w:rPr>
    </w:pPr>
    <w:r>
      <w:rPr>
        <w:rStyle w:val="a5"/>
      </w:rPr>
      <w:fldChar w:fldCharType="begin"/>
    </w:r>
    <w:r w:rsidR="00AF4D74">
      <w:rPr>
        <w:rStyle w:val="a5"/>
      </w:rPr>
      <w:instrText xml:space="preserve">PAGE  </w:instrText>
    </w:r>
    <w:r>
      <w:rPr>
        <w:rStyle w:val="a5"/>
      </w:rPr>
      <w:fldChar w:fldCharType="end"/>
    </w:r>
  </w:p>
  <w:p w:rsidR="00AF4D74" w:rsidRDefault="00AF4D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74" w:rsidRDefault="00D83742" w:rsidP="00A8473C">
    <w:pPr>
      <w:pStyle w:val="a4"/>
      <w:framePr w:wrap="around" w:vAnchor="text" w:hAnchor="margin" w:xAlign="center" w:y="1"/>
      <w:rPr>
        <w:rStyle w:val="a5"/>
      </w:rPr>
    </w:pPr>
    <w:r>
      <w:rPr>
        <w:rStyle w:val="a5"/>
      </w:rPr>
      <w:fldChar w:fldCharType="begin"/>
    </w:r>
    <w:r w:rsidR="00AF4D74">
      <w:rPr>
        <w:rStyle w:val="a5"/>
      </w:rPr>
      <w:instrText xml:space="preserve">PAGE  </w:instrText>
    </w:r>
    <w:r>
      <w:rPr>
        <w:rStyle w:val="a5"/>
      </w:rPr>
      <w:fldChar w:fldCharType="separate"/>
    </w:r>
    <w:r w:rsidR="00156E61">
      <w:rPr>
        <w:rStyle w:val="a5"/>
        <w:noProof/>
      </w:rPr>
      <w:t>9</w:t>
    </w:r>
    <w:r>
      <w:rPr>
        <w:rStyle w:val="a5"/>
      </w:rPr>
      <w:fldChar w:fldCharType="end"/>
    </w:r>
  </w:p>
  <w:p w:rsidR="00AF4D74" w:rsidRDefault="00AF4D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2F0" w:rsidRDefault="007A62F0">
      <w:r>
        <w:separator/>
      </w:r>
    </w:p>
  </w:footnote>
  <w:footnote w:type="continuationSeparator" w:id="1">
    <w:p w:rsidR="007A62F0" w:rsidRDefault="007A6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2"/>
    <w:multiLevelType w:val="multilevel"/>
    <w:tmpl w:val="78D286C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27B44EDE"/>
    <w:multiLevelType w:val="multilevel"/>
    <w:tmpl w:val="C2561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418E5"/>
    <w:multiLevelType w:val="hybridMultilevel"/>
    <w:tmpl w:val="76F04E76"/>
    <w:lvl w:ilvl="0" w:tplc="35DCBE94">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77350D"/>
    <w:multiLevelType w:val="hybridMultilevel"/>
    <w:tmpl w:val="17A6A6E0"/>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44814460"/>
    <w:multiLevelType w:val="hybridMultilevel"/>
    <w:tmpl w:val="95426F2A"/>
    <w:lvl w:ilvl="0" w:tplc="534CECD0">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B3C4F94"/>
    <w:multiLevelType w:val="hybridMultilevel"/>
    <w:tmpl w:val="D5722C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trackRevisions/>
  <w:defaultTabStop w:val="480"/>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83EAE"/>
    <w:rsid w:val="0000176D"/>
    <w:rsid w:val="00002F9E"/>
    <w:rsid w:val="00003A87"/>
    <w:rsid w:val="00010F33"/>
    <w:rsid w:val="0001112C"/>
    <w:rsid w:val="00015435"/>
    <w:rsid w:val="00022CC7"/>
    <w:rsid w:val="0002369D"/>
    <w:rsid w:val="000276A1"/>
    <w:rsid w:val="000317D5"/>
    <w:rsid w:val="00031BE2"/>
    <w:rsid w:val="000336D1"/>
    <w:rsid w:val="00037BA3"/>
    <w:rsid w:val="000401E6"/>
    <w:rsid w:val="000407E7"/>
    <w:rsid w:val="00070CE8"/>
    <w:rsid w:val="000816ED"/>
    <w:rsid w:val="000822F1"/>
    <w:rsid w:val="00083D93"/>
    <w:rsid w:val="00087A73"/>
    <w:rsid w:val="0009263F"/>
    <w:rsid w:val="000A01C7"/>
    <w:rsid w:val="000A0EA2"/>
    <w:rsid w:val="000B1B68"/>
    <w:rsid w:val="000B48E5"/>
    <w:rsid w:val="000B5D95"/>
    <w:rsid w:val="000C5A34"/>
    <w:rsid w:val="000C70C2"/>
    <w:rsid w:val="000D3A0D"/>
    <w:rsid w:val="000E2B76"/>
    <w:rsid w:val="000E32DD"/>
    <w:rsid w:val="000F4928"/>
    <w:rsid w:val="000F585E"/>
    <w:rsid w:val="00101E35"/>
    <w:rsid w:val="001030F7"/>
    <w:rsid w:val="0010692B"/>
    <w:rsid w:val="00115FE0"/>
    <w:rsid w:val="0011727A"/>
    <w:rsid w:val="001350C0"/>
    <w:rsid w:val="00140318"/>
    <w:rsid w:val="00147875"/>
    <w:rsid w:val="00156E61"/>
    <w:rsid w:val="001574D5"/>
    <w:rsid w:val="00163579"/>
    <w:rsid w:val="00173A62"/>
    <w:rsid w:val="0018145A"/>
    <w:rsid w:val="00181992"/>
    <w:rsid w:val="00183F1A"/>
    <w:rsid w:val="00196140"/>
    <w:rsid w:val="001A3D5D"/>
    <w:rsid w:val="001A4444"/>
    <w:rsid w:val="001A48B4"/>
    <w:rsid w:val="001A62EC"/>
    <w:rsid w:val="001A7D57"/>
    <w:rsid w:val="001B0525"/>
    <w:rsid w:val="001B0C17"/>
    <w:rsid w:val="001C06BA"/>
    <w:rsid w:val="001C7E01"/>
    <w:rsid w:val="001E08EA"/>
    <w:rsid w:val="001E7E1F"/>
    <w:rsid w:val="001F6B55"/>
    <w:rsid w:val="0020254B"/>
    <w:rsid w:val="002046B9"/>
    <w:rsid w:val="00215538"/>
    <w:rsid w:val="00216288"/>
    <w:rsid w:val="00226255"/>
    <w:rsid w:val="00230A8E"/>
    <w:rsid w:val="00235F7E"/>
    <w:rsid w:val="00236E5D"/>
    <w:rsid w:val="00241012"/>
    <w:rsid w:val="00246CC2"/>
    <w:rsid w:val="002631EC"/>
    <w:rsid w:val="0026740A"/>
    <w:rsid w:val="002677BF"/>
    <w:rsid w:val="00270256"/>
    <w:rsid w:val="00270613"/>
    <w:rsid w:val="00271E48"/>
    <w:rsid w:val="00285686"/>
    <w:rsid w:val="00293141"/>
    <w:rsid w:val="002941ED"/>
    <w:rsid w:val="00296E97"/>
    <w:rsid w:val="002A12F0"/>
    <w:rsid w:val="002A7969"/>
    <w:rsid w:val="002D2AEE"/>
    <w:rsid w:val="002D2D50"/>
    <w:rsid w:val="002D30E1"/>
    <w:rsid w:val="002E3082"/>
    <w:rsid w:val="002E42BD"/>
    <w:rsid w:val="002E5007"/>
    <w:rsid w:val="002E7337"/>
    <w:rsid w:val="002F112A"/>
    <w:rsid w:val="002F5D94"/>
    <w:rsid w:val="0030641A"/>
    <w:rsid w:val="003230B3"/>
    <w:rsid w:val="003254F7"/>
    <w:rsid w:val="003278C9"/>
    <w:rsid w:val="003474DB"/>
    <w:rsid w:val="00365109"/>
    <w:rsid w:val="003863AD"/>
    <w:rsid w:val="003871FF"/>
    <w:rsid w:val="00390003"/>
    <w:rsid w:val="003922E9"/>
    <w:rsid w:val="003963C5"/>
    <w:rsid w:val="003971B1"/>
    <w:rsid w:val="00397DBD"/>
    <w:rsid w:val="003A70E2"/>
    <w:rsid w:val="003B3BA9"/>
    <w:rsid w:val="003B661A"/>
    <w:rsid w:val="003E229B"/>
    <w:rsid w:val="003E4C29"/>
    <w:rsid w:val="003E65FB"/>
    <w:rsid w:val="003F3B37"/>
    <w:rsid w:val="003F4924"/>
    <w:rsid w:val="003F7689"/>
    <w:rsid w:val="004036D1"/>
    <w:rsid w:val="0041578E"/>
    <w:rsid w:val="00421E1E"/>
    <w:rsid w:val="00422313"/>
    <w:rsid w:val="00430772"/>
    <w:rsid w:val="00431521"/>
    <w:rsid w:val="00440537"/>
    <w:rsid w:val="0045225E"/>
    <w:rsid w:val="00453603"/>
    <w:rsid w:val="0047214D"/>
    <w:rsid w:val="00476E9C"/>
    <w:rsid w:val="004A3656"/>
    <w:rsid w:val="004C0839"/>
    <w:rsid w:val="004E0592"/>
    <w:rsid w:val="004E0F5B"/>
    <w:rsid w:val="004E685D"/>
    <w:rsid w:val="004E6966"/>
    <w:rsid w:val="00505749"/>
    <w:rsid w:val="00513875"/>
    <w:rsid w:val="0051674E"/>
    <w:rsid w:val="00522649"/>
    <w:rsid w:val="0052366D"/>
    <w:rsid w:val="00531739"/>
    <w:rsid w:val="005350F6"/>
    <w:rsid w:val="005367CA"/>
    <w:rsid w:val="00544F61"/>
    <w:rsid w:val="005516C5"/>
    <w:rsid w:val="0055210A"/>
    <w:rsid w:val="0055658B"/>
    <w:rsid w:val="005A0F65"/>
    <w:rsid w:val="005A58F9"/>
    <w:rsid w:val="005C2D93"/>
    <w:rsid w:val="005C3B88"/>
    <w:rsid w:val="005C5077"/>
    <w:rsid w:val="005C549D"/>
    <w:rsid w:val="005D26A5"/>
    <w:rsid w:val="005E4C6E"/>
    <w:rsid w:val="005F5E58"/>
    <w:rsid w:val="00601201"/>
    <w:rsid w:val="006040BF"/>
    <w:rsid w:val="00606EC7"/>
    <w:rsid w:val="00611B05"/>
    <w:rsid w:val="00620BDE"/>
    <w:rsid w:val="00624F40"/>
    <w:rsid w:val="00630C9A"/>
    <w:rsid w:val="006314D8"/>
    <w:rsid w:val="00631F5B"/>
    <w:rsid w:val="006458A6"/>
    <w:rsid w:val="00673D64"/>
    <w:rsid w:val="00674D05"/>
    <w:rsid w:val="00676A62"/>
    <w:rsid w:val="00691DB9"/>
    <w:rsid w:val="006A63E6"/>
    <w:rsid w:val="006A7948"/>
    <w:rsid w:val="006B27BC"/>
    <w:rsid w:val="006B62F2"/>
    <w:rsid w:val="006B77F9"/>
    <w:rsid w:val="006C1207"/>
    <w:rsid w:val="006C5CF3"/>
    <w:rsid w:val="006D0570"/>
    <w:rsid w:val="006D3208"/>
    <w:rsid w:val="006E3B82"/>
    <w:rsid w:val="006E4138"/>
    <w:rsid w:val="0070053B"/>
    <w:rsid w:val="00707B24"/>
    <w:rsid w:val="00731722"/>
    <w:rsid w:val="00733984"/>
    <w:rsid w:val="00737935"/>
    <w:rsid w:val="00750AF8"/>
    <w:rsid w:val="00750C53"/>
    <w:rsid w:val="00754EC6"/>
    <w:rsid w:val="00756D16"/>
    <w:rsid w:val="00756E40"/>
    <w:rsid w:val="00761141"/>
    <w:rsid w:val="00762713"/>
    <w:rsid w:val="00771059"/>
    <w:rsid w:val="00781151"/>
    <w:rsid w:val="00781222"/>
    <w:rsid w:val="00781A92"/>
    <w:rsid w:val="00783216"/>
    <w:rsid w:val="00790C49"/>
    <w:rsid w:val="0079129D"/>
    <w:rsid w:val="007926BA"/>
    <w:rsid w:val="007942FD"/>
    <w:rsid w:val="007A14BB"/>
    <w:rsid w:val="007A62F0"/>
    <w:rsid w:val="007B294A"/>
    <w:rsid w:val="007B2A61"/>
    <w:rsid w:val="007B5CA1"/>
    <w:rsid w:val="007C0E9F"/>
    <w:rsid w:val="007D716C"/>
    <w:rsid w:val="007E2CE3"/>
    <w:rsid w:val="007E5B5C"/>
    <w:rsid w:val="007F0E65"/>
    <w:rsid w:val="007F5505"/>
    <w:rsid w:val="007F5939"/>
    <w:rsid w:val="007F78DA"/>
    <w:rsid w:val="00804462"/>
    <w:rsid w:val="00814E16"/>
    <w:rsid w:val="00830799"/>
    <w:rsid w:val="00834E11"/>
    <w:rsid w:val="008372E6"/>
    <w:rsid w:val="008526A4"/>
    <w:rsid w:val="00862EF9"/>
    <w:rsid w:val="008650A6"/>
    <w:rsid w:val="00874C31"/>
    <w:rsid w:val="00880FB5"/>
    <w:rsid w:val="00883EAE"/>
    <w:rsid w:val="008A2A74"/>
    <w:rsid w:val="008B19D5"/>
    <w:rsid w:val="008B7D1E"/>
    <w:rsid w:val="008C5CF0"/>
    <w:rsid w:val="008D53D1"/>
    <w:rsid w:val="008D5A12"/>
    <w:rsid w:val="008F58AE"/>
    <w:rsid w:val="00914049"/>
    <w:rsid w:val="00916721"/>
    <w:rsid w:val="00917733"/>
    <w:rsid w:val="00922431"/>
    <w:rsid w:val="00923953"/>
    <w:rsid w:val="00927CD5"/>
    <w:rsid w:val="0093064A"/>
    <w:rsid w:val="009379AC"/>
    <w:rsid w:val="00944353"/>
    <w:rsid w:val="00961936"/>
    <w:rsid w:val="00967261"/>
    <w:rsid w:val="0097593B"/>
    <w:rsid w:val="0099725C"/>
    <w:rsid w:val="009A0031"/>
    <w:rsid w:val="009A418F"/>
    <w:rsid w:val="009B0BE3"/>
    <w:rsid w:val="009D4830"/>
    <w:rsid w:val="009D4CEA"/>
    <w:rsid w:val="009E3262"/>
    <w:rsid w:val="009E6247"/>
    <w:rsid w:val="009F5E3F"/>
    <w:rsid w:val="00A01102"/>
    <w:rsid w:val="00A02CCB"/>
    <w:rsid w:val="00A109ED"/>
    <w:rsid w:val="00A1247E"/>
    <w:rsid w:val="00A26D6E"/>
    <w:rsid w:val="00A301B7"/>
    <w:rsid w:val="00A31CE9"/>
    <w:rsid w:val="00A33066"/>
    <w:rsid w:val="00A449C9"/>
    <w:rsid w:val="00A5745F"/>
    <w:rsid w:val="00A75D23"/>
    <w:rsid w:val="00A77246"/>
    <w:rsid w:val="00A828B4"/>
    <w:rsid w:val="00A8473C"/>
    <w:rsid w:val="00AA4352"/>
    <w:rsid w:val="00AB3884"/>
    <w:rsid w:val="00AB3F28"/>
    <w:rsid w:val="00AE5BEE"/>
    <w:rsid w:val="00AF15C6"/>
    <w:rsid w:val="00AF4D74"/>
    <w:rsid w:val="00B001CE"/>
    <w:rsid w:val="00B17F28"/>
    <w:rsid w:val="00B214AD"/>
    <w:rsid w:val="00B220FC"/>
    <w:rsid w:val="00B31E5D"/>
    <w:rsid w:val="00B41D2E"/>
    <w:rsid w:val="00B52842"/>
    <w:rsid w:val="00B545F4"/>
    <w:rsid w:val="00B710D6"/>
    <w:rsid w:val="00B8142E"/>
    <w:rsid w:val="00B84025"/>
    <w:rsid w:val="00BA3DEC"/>
    <w:rsid w:val="00BA468C"/>
    <w:rsid w:val="00BA5545"/>
    <w:rsid w:val="00BB1B15"/>
    <w:rsid w:val="00BB7AE3"/>
    <w:rsid w:val="00BC3435"/>
    <w:rsid w:val="00BC3BB1"/>
    <w:rsid w:val="00BD29A5"/>
    <w:rsid w:val="00BD7A64"/>
    <w:rsid w:val="00BE07CA"/>
    <w:rsid w:val="00BE1282"/>
    <w:rsid w:val="00BF11B9"/>
    <w:rsid w:val="00BF1F93"/>
    <w:rsid w:val="00BF4C94"/>
    <w:rsid w:val="00BF58C2"/>
    <w:rsid w:val="00C01F50"/>
    <w:rsid w:val="00C02E5F"/>
    <w:rsid w:val="00C0511D"/>
    <w:rsid w:val="00C16807"/>
    <w:rsid w:val="00C20767"/>
    <w:rsid w:val="00C24AC8"/>
    <w:rsid w:val="00C402E8"/>
    <w:rsid w:val="00C44CD0"/>
    <w:rsid w:val="00C4576F"/>
    <w:rsid w:val="00C527FB"/>
    <w:rsid w:val="00C55C32"/>
    <w:rsid w:val="00C64EBA"/>
    <w:rsid w:val="00C67FAB"/>
    <w:rsid w:val="00C81AD1"/>
    <w:rsid w:val="00C87FB5"/>
    <w:rsid w:val="00C93D65"/>
    <w:rsid w:val="00C973CD"/>
    <w:rsid w:val="00C97B91"/>
    <w:rsid w:val="00CA0786"/>
    <w:rsid w:val="00CA38D6"/>
    <w:rsid w:val="00CA6228"/>
    <w:rsid w:val="00CB0A38"/>
    <w:rsid w:val="00CC2196"/>
    <w:rsid w:val="00CC7CB0"/>
    <w:rsid w:val="00CD2683"/>
    <w:rsid w:val="00CE3F89"/>
    <w:rsid w:val="00D1367A"/>
    <w:rsid w:val="00D3469D"/>
    <w:rsid w:val="00D5101A"/>
    <w:rsid w:val="00D5316C"/>
    <w:rsid w:val="00D5707F"/>
    <w:rsid w:val="00D621CB"/>
    <w:rsid w:val="00D648C0"/>
    <w:rsid w:val="00D7137D"/>
    <w:rsid w:val="00D74E7D"/>
    <w:rsid w:val="00D76D94"/>
    <w:rsid w:val="00D83742"/>
    <w:rsid w:val="00D92A12"/>
    <w:rsid w:val="00D9662E"/>
    <w:rsid w:val="00DA011E"/>
    <w:rsid w:val="00DA7893"/>
    <w:rsid w:val="00DB525B"/>
    <w:rsid w:val="00DD0994"/>
    <w:rsid w:val="00DD0DB9"/>
    <w:rsid w:val="00DD6B42"/>
    <w:rsid w:val="00DD6FE0"/>
    <w:rsid w:val="00DE3FDF"/>
    <w:rsid w:val="00DF579D"/>
    <w:rsid w:val="00E02DA1"/>
    <w:rsid w:val="00E101A7"/>
    <w:rsid w:val="00E14C64"/>
    <w:rsid w:val="00E32D8C"/>
    <w:rsid w:val="00E36CA1"/>
    <w:rsid w:val="00E5105D"/>
    <w:rsid w:val="00E7188C"/>
    <w:rsid w:val="00E73287"/>
    <w:rsid w:val="00E75E56"/>
    <w:rsid w:val="00E80F05"/>
    <w:rsid w:val="00E84E2B"/>
    <w:rsid w:val="00E85DAB"/>
    <w:rsid w:val="00E91113"/>
    <w:rsid w:val="00E911CA"/>
    <w:rsid w:val="00E92803"/>
    <w:rsid w:val="00E96A6C"/>
    <w:rsid w:val="00E96F19"/>
    <w:rsid w:val="00EA47A2"/>
    <w:rsid w:val="00EA6F50"/>
    <w:rsid w:val="00EB0A7A"/>
    <w:rsid w:val="00EB1C6C"/>
    <w:rsid w:val="00EB63C2"/>
    <w:rsid w:val="00EC03AF"/>
    <w:rsid w:val="00EC46E8"/>
    <w:rsid w:val="00EC6666"/>
    <w:rsid w:val="00EC74D0"/>
    <w:rsid w:val="00ED19E3"/>
    <w:rsid w:val="00ED22F7"/>
    <w:rsid w:val="00ED375A"/>
    <w:rsid w:val="00ED3BC7"/>
    <w:rsid w:val="00EE4153"/>
    <w:rsid w:val="00EE5F38"/>
    <w:rsid w:val="00EF1529"/>
    <w:rsid w:val="00EF438A"/>
    <w:rsid w:val="00EF4FD1"/>
    <w:rsid w:val="00EF66C4"/>
    <w:rsid w:val="00F03581"/>
    <w:rsid w:val="00F05495"/>
    <w:rsid w:val="00F0553A"/>
    <w:rsid w:val="00F065F4"/>
    <w:rsid w:val="00F077DC"/>
    <w:rsid w:val="00F13D4C"/>
    <w:rsid w:val="00F45F75"/>
    <w:rsid w:val="00F6342F"/>
    <w:rsid w:val="00F63904"/>
    <w:rsid w:val="00F64888"/>
    <w:rsid w:val="00F67150"/>
    <w:rsid w:val="00F67AF3"/>
    <w:rsid w:val="00F715BB"/>
    <w:rsid w:val="00F75E3D"/>
    <w:rsid w:val="00F90349"/>
    <w:rsid w:val="00FA632B"/>
    <w:rsid w:val="00FA78A8"/>
    <w:rsid w:val="00FA79F6"/>
    <w:rsid w:val="00FB76EE"/>
    <w:rsid w:val="00FC10FB"/>
    <w:rsid w:val="00FC1DB3"/>
    <w:rsid w:val="00FD3B37"/>
    <w:rsid w:val="00FD3DFF"/>
    <w:rsid w:val="00FD46A1"/>
    <w:rsid w:val="00FE06EA"/>
    <w:rsid w:val="00FE27BC"/>
    <w:rsid w:val="00FE2954"/>
    <w:rsid w:val="00FF1F60"/>
    <w:rsid w:val="00FF691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E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
    <w:basedOn w:val="a"/>
    <w:rsid w:val="00883EAE"/>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FF1F60"/>
    <w:rPr>
      <w:rFonts w:ascii="Arial" w:hAnsi="Arial"/>
      <w:sz w:val="18"/>
      <w:szCs w:val="18"/>
    </w:rPr>
  </w:style>
  <w:style w:type="paragraph" w:styleId="a4">
    <w:name w:val="footer"/>
    <w:basedOn w:val="a"/>
    <w:rsid w:val="00AF4D74"/>
    <w:pPr>
      <w:tabs>
        <w:tab w:val="center" w:pos="4153"/>
        <w:tab w:val="right" w:pos="8306"/>
      </w:tabs>
      <w:snapToGrid w:val="0"/>
    </w:pPr>
    <w:rPr>
      <w:sz w:val="20"/>
      <w:szCs w:val="20"/>
    </w:rPr>
  </w:style>
  <w:style w:type="character" w:styleId="a5">
    <w:name w:val="page number"/>
    <w:basedOn w:val="a0"/>
    <w:rsid w:val="00AF4D74"/>
  </w:style>
  <w:style w:type="paragraph" w:styleId="a6">
    <w:name w:val="header"/>
    <w:basedOn w:val="a"/>
    <w:link w:val="a7"/>
    <w:rsid w:val="00D5101A"/>
    <w:pPr>
      <w:tabs>
        <w:tab w:val="center" w:pos="4153"/>
        <w:tab w:val="right" w:pos="8306"/>
      </w:tabs>
      <w:snapToGrid w:val="0"/>
    </w:pPr>
    <w:rPr>
      <w:sz w:val="20"/>
      <w:szCs w:val="20"/>
    </w:rPr>
  </w:style>
  <w:style w:type="character" w:customStyle="1" w:styleId="a7">
    <w:name w:val="頁首 字元"/>
    <w:basedOn w:val="a0"/>
    <w:link w:val="a6"/>
    <w:rsid w:val="00D5101A"/>
    <w:rPr>
      <w:kern w:val="2"/>
    </w:rPr>
  </w:style>
  <w:style w:type="paragraph" w:styleId="Web">
    <w:name w:val="Normal (Web)"/>
    <w:basedOn w:val="a"/>
    <w:uiPriority w:val="99"/>
    <w:unhideWhenUsed/>
    <w:rsid w:val="00083D93"/>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7C0E9F"/>
    <w:pPr>
      <w:ind w:leftChars="200" w:left="480"/>
    </w:pPr>
    <w:rPr>
      <w:rFonts w:ascii="Calibri" w:hAnsi="Calibri"/>
      <w:szCs w:val="22"/>
    </w:rPr>
  </w:style>
  <w:style w:type="paragraph" w:customStyle="1" w:styleId="a9">
    <w:name w:val="a"/>
    <w:basedOn w:val="a"/>
    <w:rsid w:val="007C0E9F"/>
    <w:pPr>
      <w:widowControl/>
      <w:spacing w:before="100" w:beforeAutospacing="1" w:after="100" w:afterAutospacing="1"/>
    </w:pPr>
    <w:rPr>
      <w:rFonts w:ascii="新細明體" w:hAnsi="新細明體" w:cs="新細明體"/>
      <w:kern w:val="0"/>
    </w:rPr>
  </w:style>
  <w:style w:type="table" w:styleId="aa">
    <w:name w:val="Table Grid"/>
    <w:basedOn w:val="a1"/>
    <w:uiPriority w:val="59"/>
    <w:rsid w:val="007C0E9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1156">
      <w:bodyDiv w:val="1"/>
      <w:marLeft w:val="0"/>
      <w:marRight w:val="0"/>
      <w:marTop w:val="0"/>
      <w:marBottom w:val="0"/>
      <w:divBdr>
        <w:top w:val="none" w:sz="0" w:space="0" w:color="auto"/>
        <w:left w:val="none" w:sz="0" w:space="0" w:color="auto"/>
        <w:bottom w:val="none" w:sz="0" w:space="0" w:color="auto"/>
        <w:right w:val="none" w:sz="0" w:space="0" w:color="auto"/>
      </w:divBdr>
    </w:div>
    <w:div w:id="15010001">
      <w:bodyDiv w:val="1"/>
      <w:marLeft w:val="0"/>
      <w:marRight w:val="0"/>
      <w:marTop w:val="0"/>
      <w:marBottom w:val="0"/>
      <w:divBdr>
        <w:top w:val="none" w:sz="0" w:space="0" w:color="auto"/>
        <w:left w:val="none" w:sz="0" w:space="0" w:color="auto"/>
        <w:bottom w:val="none" w:sz="0" w:space="0" w:color="auto"/>
        <w:right w:val="none" w:sz="0" w:space="0" w:color="auto"/>
      </w:divBdr>
      <w:divsChild>
        <w:div w:id="777141856">
          <w:marLeft w:val="0"/>
          <w:marRight w:val="0"/>
          <w:marTop w:val="0"/>
          <w:marBottom w:val="0"/>
          <w:divBdr>
            <w:top w:val="none" w:sz="0" w:space="0" w:color="auto"/>
            <w:left w:val="none" w:sz="0" w:space="0" w:color="auto"/>
            <w:bottom w:val="none" w:sz="0" w:space="0" w:color="auto"/>
            <w:right w:val="none" w:sz="0" w:space="0" w:color="auto"/>
          </w:divBdr>
        </w:div>
      </w:divsChild>
    </w:div>
    <w:div w:id="108010966">
      <w:bodyDiv w:val="1"/>
      <w:marLeft w:val="0"/>
      <w:marRight w:val="0"/>
      <w:marTop w:val="0"/>
      <w:marBottom w:val="0"/>
      <w:divBdr>
        <w:top w:val="none" w:sz="0" w:space="0" w:color="auto"/>
        <w:left w:val="none" w:sz="0" w:space="0" w:color="auto"/>
        <w:bottom w:val="none" w:sz="0" w:space="0" w:color="auto"/>
        <w:right w:val="none" w:sz="0" w:space="0" w:color="auto"/>
      </w:divBdr>
    </w:div>
    <w:div w:id="120272658">
      <w:bodyDiv w:val="1"/>
      <w:marLeft w:val="0"/>
      <w:marRight w:val="0"/>
      <w:marTop w:val="0"/>
      <w:marBottom w:val="0"/>
      <w:divBdr>
        <w:top w:val="none" w:sz="0" w:space="0" w:color="auto"/>
        <w:left w:val="none" w:sz="0" w:space="0" w:color="auto"/>
        <w:bottom w:val="none" w:sz="0" w:space="0" w:color="auto"/>
        <w:right w:val="none" w:sz="0" w:space="0" w:color="auto"/>
      </w:divBdr>
      <w:divsChild>
        <w:div w:id="1394239038">
          <w:marLeft w:val="0"/>
          <w:marRight w:val="0"/>
          <w:marTop w:val="0"/>
          <w:marBottom w:val="0"/>
          <w:divBdr>
            <w:top w:val="none" w:sz="0" w:space="0" w:color="auto"/>
            <w:left w:val="none" w:sz="0" w:space="0" w:color="auto"/>
            <w:bottom w:val="none" w:sz="0" w:space="0" w:color="auto"/>
            <w:right w:val="none" w:sz="0" w:space="0" w:color="auto"/>
          </w:divBdr>
        </w:div>
      </w:divsChild>
    </w:div>
    <w:div w:id="418060784">
      <w:bodyDiv w:val="1"/>
      <w:marLeft w:val="0"/>
      <w:marRight w:val="0"/>
      <w:marTop w:val="0"/>
      <w:marBottom w:val="0"/>
      <w:divBdr>
        <w:top w:val="none" w:sz="0" w:space="0" w:color="auto"/>
        <w:left w:val="none" w:sz="0" w:space="0" w:color="auto"/>
        <w:bottom w:val="none" w:sz="0" w:space="0" w:color="auto"/>
        <w:right w:val="none" w:sz="0" w:space="0" w:color="auto"/>
      </w:divBdr>
    </w:div>
    <w:div w:id="613899847">
      <w:bodyDiv w:val="1"/>
      <w:marLeft w:val="0"/>
      <w:marRight w:val="0"/>
      <w:marTop w:val="0"/>
      <w:marBottom w:val="0"/>
      <w:divBdr>
        <w:top w:val="none" w:sz="0" w:space="0" w:color="auto"/>
        <w:left w:val="none" w:sz="0" w:space="0" w:color="auto"/>
        <w:bottom w:val="none" w:sz="0" w:space="0" w:color="auto"/>
        <w:right w:val="none" w:sz="0" w:space="0" w:color="auto"/>
      </w:divBdr>
    </w:div>
    <w:div w:id="777868724">
      <w:bodyDiv w:val="1"/>
      <w:marLeft w:val="0"/>
      <w:marRight w:val="0"/>
      <w:marTop w:val="0"/>
      <w:marBottom w:val="0"/>
      <w:divBdr>
        <w:top w:val="none" w:sz="0" w:space="0" w:color="auto"/>
        <w:left w:val="none" w:sz="0" w:space="0" w:color="auto"/>
        <w:bottom w:val="none" w:sz="0" w:space="0" w:color="auto"/>
        <w:right w:val="none" w:sz="0" w:space="0" w:color="auto"/>
      </w:divBdr>
      <w:divsChild>
        <w:div w:id="893466936">
          <w:marLeft w:val="0"/>
          <w:marRight w:val="0"/>
          <w:marTop w:val="0"/>
          <w:marBottom w:val="0"/>
          <w:divBdr>
            <w:top w:val="none" w:sz="0" w:space="0" w:color="auto"/>
            <w:left w:val="none" w:sz="0" w:space="0" w:color="auto"/>
            <w:bottom w:val="none" w:sz="0" w:space="0" w:color="auto"/>
            <w:right w:val="none" w:sz="0" w:space="0" w:color="auto"/>
          </w:divBdr>
        </w:div>
      </w:divsChild>
    </w:div>
    <w:div w:id="791902490">
      <w:bodyDiv w:val="1"/>
      <w:marLeft w:val="0"/>
      <w:marRight w:val="0"/>
      <w:marTop w:val="0"/>
      <w:marBottom w:val="0"/>
      <w:divBdr>
        <w:top w:val="none" w:sz="0" w:space="0" w:color="auto"/>
        <w:left w:val="none" w:sz="0" w:space="0" w:color="auto"/>
        <w:bottom w:val="none" w:sz="0" w:space="0" w:color="auto"/>
        <w:right w:val="none" w:sz="0" w:space="0" w:color="auto"/>
      </w:divBdr>
    </w:div>
    <w:div w:id="962803852">
      <w:bodyDiv w:val="1"/>
      <w:marLeft w:val="0"/>
      <w:marRight w:val="0"/>
      <w:marTop w:val="0"/>
      <w:marBottom w:val="0"/>
      <w:divBdr>
        <w:top w:val="none" w:sz="0" w:space="0" w:color="auto"/>
        <w:left w:val="none" w:sz="0" w:space="0" w:color="auto"/>
        <w:bottom w:val="none" w:sz="0" w:space="0" w:color="auto"/>
        <w:right w:val="none" w:sz="0" w:space="0" w:color="auto"/>
      </w:divBdr>
    </w:div>
    <w:div w:id="1565792650">
      <w:bodyDiv w:val="1"/>
      <w:marLeft w:val="0"/>
      <w:marRight w:val="0"/>
      <w:marTop w:val="0"/>
      <w:marBottom w:val="0"/>
      <w:divBdr>
        <w:top w:val="none" w:sz="0" w:space="0" w:color="auto"/>
        <w:left w:val="none" w:sz="0" w:space="0" w:color="auto"/>
        <w:bottom w:val="none" w:sz="0" w:space="0" w:color="auto"/>
        <w:right w:val="none" w:sz="0" w:space="0" w:color="auto"/>
      </w:divBdr>
    </w:div>
    <w:div w:id="1622567392">
      <w:bodyDiv w:val="1"/>
      <w:marLeft w:val="0"/>
      <w:marRight w:val="0"/>
      <w:marTop w:val="0"/>
      <w:marBottom w:val="0"/>
      <w:divBdr>
        <w:top w:val="none" w:sz="0" w:space="0" w:color="auto"/>
        <w:left w:val="none" w:sz="0" w:space="0" w:color="auto"/>
        <w:bottom w:val="none" w:sz="0" w:space="0" w:color="auto"/>
        <w:right w:val="none" w:sz="0" w:space="0" w:color="auto"/>
      </w:divBdr>
      <w:divsChild>
        <w:div w:id="1118178384">
          <w:marLeft w:val="547"/>
          <w:marRight w:val="0"/>
          <w:marTop w:val="230"/>
          <w:marBottom w:val="0"/>
          <w:divBdr>
            <w:top w:val="none" w:sz="0" w:space="0" w:color="auto"/>
            <w:left w:val="none" w:sz="0" w:space="0" w:color="auto"/>
            <w:bottom w:val="none" w:sz="0" w:space="0" w:color="auto"/>
            <w:right w:val="none" w:sz="0" w:space="0" w:color="auto"/>
          </w:divBdr>
        </w:div>
      </w:divsChild>
    </w:div>
    <w:div w:id="1740975191">
      <w:bodyDiv w:val="1"/>
      <w:marLeft w:val="0"/>
      <w:marRight w:val="0"/>
      <w:marTop w:val="0"/>
      <w:marBottom w:val="0"/>
      <w:divBdr>
        <w:top w:val="none" w:sz="0" w:space="0" w:color="auto"/>
        <w:left w:val="none" w:sz="0" w:space="0" w:color="auto"/>
        <w:bottom w:val="none" w:sz="0" w:space="0" w:color="auto"/>
        <w:right w:val="none" w:sz="0" w:space="0" w:color="auto"/>
      </w:divBdr>
      <w:divsChild>
        <w:div w:id="1607079316">
          <w:marLeft w:val="0"/>
          <w:marRight w:val="0"/>
          <w:marTop w:val="0"/>
          <w:marBottom w:val="0"/>
          <w:divBdr>
            <w:top w:val="none" w:sz="0" w:space="0" w:color="auto"/>
            <w:left w:val="none" w:sz="0" w:space="0" w:color="auto"/>
            <w:bottom w:val="none" w:sz="0" w:space="0" w:color="auto"/>
            <w:right w:val="none" w:sz="0" w:space="0" w:color="auto"/>
          </w:divBdr>
        </w:div>
      </w:divsChild>
    </w:div>
    <w:div w:id="1812357395">
      <w:bodyDiv w:val="1"/>
      <w:marLeft w:val="0"/>
      <w:marRight w:val="0"/>
      <w:marTop w:val="0"/>
      <w:marBottom w:val="0"/>
      <w:divBdr>
        <w:top w:val="none" w:sz="0" w:space="0" w:color="auto"/>
        <w:left w:val="none" w:sz="0" w:space="0" w:color="auto"/>
        <w:bottom w:val="none" w:sz="0" w:space="0" w:color="auto"/>
        <w:right w:val="none" w:sz="0" w:space="0" w:color="auto"/>
      </w:divBdr>
      <w:divsChild>
        <w:div w:id="1502544195">
          <w:marLeft w:val="547"/>
          <w:marRight w:val="0"/>
          <w:marTop w:val="230"/>
          <w:marBottom w:val="0"/>
          <w:divBdr>
            <w:top w:val="none" w:sz="0" w:space="0" w:color="auto"/>
            <w:left w:val="none" w:sz="0" w:space="0" w:color="auto"/>
            <w:bottom w:val="none" w:sz="0" w:space="0" w:color="auto"/>
            <w:right w:val="none" w:sz="0" w:space="0" w:color="auto"/>
          </w:divBdr>
        </w:div>
      </w:divsChild>
    </w:div>
    <w:div w:id="1844971626">
      <w:bodyDiv w:val="1"/>
      <w:marLeft w:val="0"/>
      <w:marRight w:val="0"/>
      <w:marTop w:val="0"/>
      <w:marBottom w:val="0"/>
      <w:divBdr>
        <w:top w:val="none" w:sz="0" w:space="0" w:color="auto"/>
        <w:left w:val="none" w:sz="0" w:space="0" w:color="auto"/>
        <w:bottom w:val="none" w:sz="0" w:space="0" w:color="auto"/>
        <w:right w:val="none" w:sz="0" w:space="0" w:color="auto"/>
      </w:divBdr>
      <w:divsChild>
        <w:div w:id="23606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E7A7-C86C-421F-9317-153A5B61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1109</Words>
  <Characters>6327</Characters>
  <Application>Microsoft Office Word</Application>
  <DocSecurity>0</DocSecurity>
  <Lines>52</Lines>
  <Paragraphs>14</Paragraphs>
  <ScaleCrop>false</ScaleCrop>
  <Company>國家通訊傳播委員會</Company>
  <LinksUpToDate>false</LinksUpToDate>
  <CharactersWithSpaces>7422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2013-02-18T03:43:00Z</dcterms:created>
  <dc:creator>技術管理處基地台管理科李鐘林</dc:creator>
  <lastModifiedBy>資源技術處無線通訊技術科陳麗分</lastModifiedBy>
  <lastPrinted>2012-11-19T11:40:00Z</lastPrinted>
  <dcterms:modified xsi:type="dcterms:W3CDTF">2013-02-18T04:26:00Z</dcterms:modified>
  <revision>4</revision>
  <dc:title>無線廣播電視電臺設置使用管理辦法第二十七條修正草案總說明</dc:title>
</coreProperties>
</file>