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3" w:rsidRPr="00942F43" w:rsidRDefault="00254B13" w:rsidP="00254B13">
      <w:pPr>
        <w:rPr>
          <w:rFonts w:hint="eastAsia"/>
          <w:b/>
        </w:rPr>
      </w:pPr>
      <w:bookmarkStart w:id="0" w:name="_Toc311809440"/>
      <w:bookmarkStart w:id="1" w:name="_Toc312332871"/>
      <w:bookmarkStart w:id="2" w:name="_Toc312932941"/>
      <w:r w:rsidRPr="00942F43">
        <w:rPr>
          <w:rFonts w:hint="eastAsia"/>
          <w:b/>
        </w:rPr>
        <w:t>附</w:t>
      </w:r>
      <w:bookmarkEnd w:id="0"/>
      <w:bookmarkEnd w:id="1"/>
      <w:bookmarkEnd w:id="2"/>
      <w:r>
        <w:rPr>
          <w:rFonts w:hint="eastAsia"/>
          <w:b/>
        </w:rPr>
        <w:t>件</w:t>
      </w:r>
    </w:p>
    <w:p w:rsidR="00254B13" w:rsidRDefault="00254B13" w:rsidP="00254B13">
      <w:pPr>
        <w:pStyle w:val="a"/>
        <w:numPr>
          <w:ilvl w:val="0"/>
          <w:numId w:val="0"/>
        </w:numPr>
        <w:ind w:left="480" w:hanging="480"/>
      </w:pPr>
      <w:bookmarkStart w:id="3" w:name="_Toc299752938"/>
      <w:bookmarkStart w:id="4" w:name="_Ref299753136"/>
      <w:bookmarkStart w:id="5" w:name="_Ref299753223"/>
      <w:bookmarkStart w:id="6" w:name="_Ref299753266"/>
      <w:bookmarkStart w:id="7" w:name="_Ref299753461"/>
      <w:bookmarkStart w:id="8" w:name="_Ref299753474"/>
      <w:bookmarkStart w:id="9" w:name="_Ref316028676"/>
      <w:bookmarkStart w:id="10" w:name="_Toc316043398"/>
      <w:bookmarkStart w:id="11" w:name="_Ref316046628"/>
      <w:bookmarkStart w:id="12" w:name="_Toc343006809"/>
      <w:r>
        <w:rPr>
          <w:rFonts w:hint="eastAsia"/>
        </w:rPr>
        <w:t>附件一、</w:t>
      </w:r>
      <w:r w:rsidRPr="00F52619">
        <w:rPr>
          <w:rFonts w:hint="eastAsia"/>
        </w:rPr>
        <w:t>安全功能介面表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254B13" w:rsidRPr="00785158" w:rsidTr="005D780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254B13" w:rsidRPr="00785158" w:rsidTr="005D780B">
        <w:tc>
          <w:tcPr>
            <w:tcW w:w="2628" w:type="dxa"/>
          </w:tcPr>
          <w:p w:rsidR="00254B13" w:rsidRPr="00785158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列出所有安全功能介面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254B13" w:rsidRPr="00A40316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340" w:type="dxa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說明如何使用各安全功能介面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160" w:type="dxa"/>
          </w:tcPr>
          <w:p w:rsidR="00254B13" w:rsidRPr="00785158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說明各安全功能介面所有參數及其意義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440" w:type="dxa"/>
          </w:tcPr>
          <w:p w:rsidR="00254B13" w:rsidRPr="00785158" w:rsidRDefault="00254B13" w:rsidP="005D780B">
            <w:pPr>
              <w:pStyle w:val="31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254B13" w:rsidRPr="00785158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說明執行各安全功能介面產生之錯誤訊息，包含其意義及產生條件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</w:tr>
      <w:tr w:rsidR="00254B13" w:rsidRPr="00A46CBF" w:rsidTr="005D780B">
        <w:tc>
          <w:tcPr>
            <w:tcW w:w="2628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</w:t>
            </w:r>
            <w:proofErr w:type="gramStart"/>
            <w:r w:rsidRPr="00A46CBF">
              <w:rPr>
                <w:rFonts w:hint="eastAsia"/>
                <w:i/>
                <w:color w:val="000000"/>
                <w:lang w:eastAsia="zh-TW"/>
              </w:rPr>
              <w:t>接待測物</w:t>
            </w:r>
            <w:proofErr w:type="gramEnd"/>
            <w:r w:rsidRPr="00A46CBF">
              <w:rPr>
                <w:rFonts w:hint="eastAsia"/>
                <w:i/>
                <w:color w:val="000000"/>
                <w:lang w:eastAsia="zh-TW"/>
              </w:rPr>
              <w:t>，即提供命令列模式操作介面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254B13" w:rsidRPr="00A46CBF" w:rsidRDefault="00254B13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254B13" w:rsidRPr="00A46CBF" w:rsidRDefault="00254B13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</w:t>
            </w:r>
            <w:proofErr w:type="gramStart"/>
            <w:r w:rsidRPr="00A46CBF">
              <w:rPr>
                <w:rFonts w:hint="eastAsia"/>
                <w:i/>
                <w:color w:val="000000"/>
              </w:rPr>
              <w:t>待測物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254B13" w:rsidRDefault="00254B13" w:rsidP="00254B13">
      <w:pPr>
        <w:pStyle w:val="1"/>
        <w:numPr>
          <w:ilvl w:val="0"/>
          <w:numId w:val="0"/>
        </w:numPr>
        <w:spacing w:after="180"/>
        <w:rPr>
          <w:lang w:eastAsia="zh-TW"/>
        </w:rPr>
        <w:sectPr w:rsidR="00254B13" w:rsidSect="001A052A">
          <w:footerReference w:type="default" r:id="rId5"/>
          <w:pgSz w:w="16838" w:h="11906" w:orient="landscape"/>
          <w:pgMar w:top="1418" w:right="1134" w:bottom="1134" w:left="1134" w:header="851" w:footer="601" w:gutter="0"/>
          <w:cols w:space="425"/>
          <w:docGrid w:type="lines" w:linePitch="360"/>
        </w:sectPr>
      </w:pPr>
    </w:p>
    <w:p w:rsidR="00254B13" w:rsidRDefault="00254B13" w:rsidP="00254B13">
      <w:pPr>
        <w:pStyle w:val="a"/>
        <w:numPr>
          <w:ilvl w:val="0"/>
          <w:numId w:val="0"/>
        </w:numPr>
        <w:ind w:left="480" w:hanging="480"/>
      </w:pPr>
      <w:bookmarkStart w:id="13" w:name="_Toc299752939"/>
      <w:bookmarkStart w:id="14" w:name="_Ref299753143"/>
      <w:bookmarkStart w:id="15" w:name="_Ref299753233"/>
      <w:bookmarkStart w:id="16" w:name="_Ref299753234"/>
      <w:bookmarkStart w:id="17" w:name="_Ref299753273"/>
      <w:bookmarkStart w:id="18" w:name="_Ref299753341"/>
      <w:bookmarkStart w:id="19" w:name="_Ref316029185"/>
      <w:bookmarkStart w:id="20" w:name="_Toc316043399"/>
      <w:bookmarkStart w:id="21" w:name="_Ref316046629"/>
      <w:bookmarkStart w:id="22" w:name="_Toc343006810"/>
      <w:r>
        <w:rPr>
          <w:rFonts w:hint="eastAsia"/>
        </w:rPr>
        <w:lastRenderedPageBreak/>
        <w:t>附件二、</w:t>
      </w:r>
      <w:r w:rsidRPr="00F52619">
        <w:rPr>
          <w:rFonts w:hint="eastAsia"/>
        </w:rPr>
        <w:t>子系統描述與分類表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254B13" w:rsidRPr="00785158" w:rsidTr="005D780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254B13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254B13" w:rsidRPr="00785158" w:rsidRDefault="00254B1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254B13" w:rsidRPr="00785158" w:rsidTr="005D780B">
        <w:tc>
          <w:tcPr>
            <w:tcW w:w="1929" w:type="dxa"/>
          </w:tcPr>
          <w:p w:rsidR="00254B13" w:rsidRPr="00785158" w:rsidRDefault="00254B13" w:rsidP="005D780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列出各安全功能介面之子系統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254B13" w:rsidRDefault="00254B1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915" w:type="dxa"/>
          </w:tcPr>
          <w:p w:rsidR="00254B13" w:rsidRPr="00A40316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說明各子系統隸屬於附</w:t>
            </w:r>
            <w:r>
              <w:rPr>
                <w:rFonts w:hint="eastAsia"/>
                <w:color w:val="000000"/>
                <w:lang w:eastAsia="zh-TW"/>
              </w:rPr>
              <w:t>錄</w:t>
            </w:r>
            <w:r>
              <w:rPr>
                <w:rFonts w:hint="eastAsia"/>
                <w:color w:val="000000"/>
              </w:rPr>
              <w:t>一所列之安全功能介面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9295" w:type="dxa"/>
          </w:tcPr>
          <w:p w:rsidR="00254B13" w:rsidRPr="00785158" w:rsidRDefault="00254B13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254B13" w:rsidRPr="00A40316" w:rsidRDefault="00254B1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254B13" w:rsidRPr="00785158" w:rsidRDefault="00254B1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</w:t>
            </w:r>
            <w:proofErr w:type="gramStart"/>
            <w:r w:rsidRPr="00435C4D">
              <w:rPr>
                <w:rFonts w:hint="eastAsia"/>
                <w:iCs/>
                <w:color w:val="000000"/>
                <w:lang w:eastAsia="zh-TW"/>
              </w:rPr>
              <w:t>子系統間的溝通</w:t>
            </w:r>
            <w:proofErr w:type="gramEnd"/>
            <w:r w:rsidRPr="00435C4D">
              <w:rPr>
                <w:rFonts w:hint="eastAsia"/>
                <w:iCs/>
                <w:color w:val="000000"/>
                <w:lang w:eastAsia="zh-TW"/>
              </w:rPr>
              <w:t>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254B13" w:rsidRPr="00A46CBF" w:rsidTr="005D780B">
        <w:tc>
          <w:tcPr>
            <w:tcW w:w="1929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  <w:proofErr w:type="spellEnd"/>
          </w:p>
          <w:p w:rsidR="00254B13" w:rsidRPr="00A46CBF" w:rsidRDefault="00254B13" w:rsidP="005D780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254B13" w:rsidRPr="00A46CBF" w:rsidRDefault="00254B13" w:rsidP="005D780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  <w:proofErr w:type="spellEnd"/>
          </w:p>
          <w:p w:rsidR="00254B13" w:rsidRPr="00A40316" w:rsidRDefault="00254B13" w:rsidP="005D780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Subsystem_terminal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254B13" w:rsidRDefault="00254B13" w:rsidP="00254B13">
      <w:pPr>
        <w:pStyle w:val="05"/>
        <w:numPr>
          <w:ilvl w:val="0"/>
          <w:numId w:val="0"/>
        </w:numPr>
        <w:sectPr w:rsidR="00254B13" w:rsidSect="000D0B42">
          <w:footerReference w:type="default" r:id="rId6"/>
          <w:pgSz w:w="16838" w:h="11906" w:orient="landscape"/>
          <w:pgMar w:top="1418" w:right="1134" w:bottom="1134" w:left="1134" w:header="851" w:footer="601" w:gutter="0"/>
          <w:cols w:space="425"/>
          <w:docGrid w:type="lines" w:linePitch="360"/>
        </w:sectPr>
      </w:pPr>
    </w:p>
    <w:p w:rsidR="00254B13" w:rsidRDefault="00254B13" w:rsidP="00254B13">
      <w:pPr>
        <w:pStyle w:val="a"/>
        <w:numPr>
          <w:ilvl w:val="0"/>
          <w:numId w:val="0"/>
        </w:numPr>
        <w:spacing w:before="0" w:after="190"/>
      </w:pPr>
      <w:bookmarkStart w:id="23" w:name="_Toc299752940"/>
      <w:bookmarkStart w:id="24" w:name="_Ref299753242"/>
      <w:bookmarkStart w:id="25" w:name="_Ref299753357"/>
      <w:bookmarkStart w:id="26" w:name="_Ref316029419"/>
      <w:bookmarkStart w:id="27" w:name="_Toc316043400"/>
      <w:bookmarkStart w:id="28" w:name="_Toc343006811"/>
      <w:r>
        <w:rPr>
          <w:rFonts w:hint="eastAsia"/>
        </w:rPr>
        <w:lastRenderedPageBreak/>
        <w:t>附件三、</w:t>
      </w:r>
      <w:r w:rsidRPr="00F52619">
        <w:rPr>
          <w:rFonts w:hint="eastAsia"/>
        </w:rPr>
        <w:t>安全架構描述表</w:t>
      </w:r>
      <w:bookmarkEnd w:id="23"/>
      <w:bookmarkEnd w:id="24"/>
      <w:bookmarkEnd w:id="25"/>
      <w:bookmarkEnd w:id="26"/>
      <w:bookmarkEnd w:id="27"/>
      <w:bookmarkEnd w:id="28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3925"/>
        <w:gridCol w:w="3240"/>
        <w:gridCol w:w="5551"/>
      </w:tblGrid>
      <w:tr w:rsidR="00254B13" w:rsidRPr="00A46CBF" w:rsidTr="005D780B">
        <w:trPr>
          <w:trHeight w:val="1284"/>
          <w:tblHeader/>
        </w:trPr>
        <w:tc>
          <w:tcPr>
            <w:tcW w:w="2843" w:type="dxa"/>
            <w:shd w:val="clear" w:color="auto" w:fill="FFFF99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12716" w:type="dxa"/>
            <w:gridSpan w:val="3"/>
            <w:shd w:val="clear" w:color="auto" w:fill="FFFF99"/>
            <w:vAlign w:val="center"/>
          </w:tcPr>
          <w:p w:rsidR="00254B13" w:rsidRPr="00A46CBF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254B13" w:rsidRPr="00A46CBF" w:rsidTr="005D780B">
        <w:trPr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254B13" w:rsidRPr="00C31509" w:rsidRDefault="00254B13" w:rsidP="005D780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8791" w:type="dxa"/>
            <w:gridSpan w:val="2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254B13" w:rsidRPr="00A46CBF" w:rsidTr="005D780B">
        <w:trPr>
          <w:trHeight w:val="6144"/>
        </w:trPr>
        <w:tc>
          <w:tcPr>
            <w:tcW w:w="2843" w:type="dxa"/>
            <w:vMerge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  <w:proofErr w:type="spellEnd"/>
          </w:p>
          <w:p w:rsidR="00254B13" w:rsidRPr="00A46CBF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  <w:proofErr w:type="spellEnd"/>
          </w:p>
        </w:tc>
        <w:tc>
          <w:tcPr>
            <w:tcW w:w="8791" w:type="dxa"/>
            <w:gridSpan w:val="2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54B13" w:rsidRPr="00A46CBF" w:rsidRDefault="00254B13" w:rsidP="005D780B">
            <w:pPr>
              <w:pStyle w:val="15alta"/>
              <w:spacing w:after="190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proofErr w:type="spellStart"/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時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</w:t>
            </w:r>
            <w:proofErr w:type="spellEnd"/>
            <w:r w:rsidRPr="007F41B8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254B13" w:rsidRPr="00A46CBF" w:rsidTr="005D780B">
        <w:trPr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254B13" w:rsidRPr="00C31509" w:rsidRDefault="00254B13" w:rsidP="005D780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相關元件</w:t>
            </w:r>
          </w:p>
        </w:tc>
        <w:tc>
          <w:tcPr>
            <w:tcW w:w="8791" w:type="dxa"/>
            <w:gridSpan w:val="2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254B13" w:rsidRPr="00A46CBF" w:rsidTr="005D780B">
        <w:trPr>
          <w:trHeight w:val="6480"/>
        </w:trPr>
        <w:tc>
          <w:tcPr>
            <w:tcW w:w="2843" w:type="dxa"/>
            <w:vMerge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proofErr w:type="gramStart"/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proofErr w:type="spellStart"/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  <w:proofErr w:type="spellEnd"/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54B13" w:rsidRPr="00785158" w:rsidRDefault="00254B13" w:rsidP="005D780B">
            <w:pPr>
              <w:pStyle w:val="15alta"/>
              <w:spacing w:after="190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8791" w:type="dxa"/>
            <w:gridSpan w:val="2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</w:t>
            </w:r>
            <w:proofErr w:type="gramStart"/>
            <w:r>
              <w:rPr>
                <w:iCs/>
                <w:color w:val="000000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54B13" w:rsidRPr="0045438F" w:rsidRDefault="00254B13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  <w:p w:rsidR="00254B13" w:rsidRPr="00785158" w:rsidRDefault="00254B13" w:rsidP="005D780B">
            <w:pPr>
              <w:pStyle w:val="15alta"/>
              <w:spacing w:after="190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254B13" w:rsidRPr="00A46CBF" w:rsidTr="005D780B">
        <w:trPr>
          <w:trHeight w:val="992"/>
        </w:trPr>
        <w:tc>
          <w:tcPr>
            <w:tcW w:w="2843" w:type="dxa"/>
            <w:vMerge w:val="restart"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254B13" w:rsidRPr="00C31509" w:rsidRDefault="00254B1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5551" w:type="dxa"/>
            <w:shd w:val="clear" w:color="auto" w:fill="EEECE1"/>
            <w:vAlign w:val="center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254B13" w:rsidRPr="00A46CBF" w:rsidTr="005D780B">
        <w:trPr>
          <w:trHeight w:val="6864"/>
        </w:trPr>
        <w:tc>
          <w:tcPr>
            <w:tcW w:w="2843" w:type="dxa"/>
            <w:vMerge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54B13" w:rsidRPr="00A46CB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254B13" w:rsidRPr="00C31509" w:rsidRDefault="00254B13" w:rsidP="005D780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254B13" w:rsidRPr="00A46CBF" w:rsidRDefault="00254B13" w:rsidP="005D780B">
            <w:pPr>
              <w:pStyle w:val="15alta"/>
              <w:spacing w:after="190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54B13" w:rsidRPr="00C31509" w:rsidRDefault="00254B13" w:rsidP="005D780B">
            <w:pPr>
              <w:pStyle w:val="15alta"/>
              <w:spacing w:after="190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 xml:space="preserve">TSFI_WEB </w:t>
            </w:r>
            <w:proofErr w:type="spellStart"/>
            <w:r w:rsidRPr="0045438F">
              <w:rPr>
                <w:i/>
                <w:color w:val="000000"/>
                <w:lang w:eastAsia="zh-TW"/>
              </w:rPr>
              <w:t>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254B13" w:rsidRPr="00785158" w:rsidRDefault="00254B13" w:rsidP="005D780B">
            <w:pPr>
              <w:pStyle w:val="15alta"/>
              <w:spacing w:after="190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254B13" w:rsidRPr="00A46CBF" w:rsidTr="005D780B">
        <w:tc>
          <w:tcPr>
            <w:tcW w:w="2843" w:type="dxa"/>
            <w:vMerge w:val="restart"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254B13" w:rsidRPr="00C31509" w:rsidRDefault="00254B1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t>Non-</w:t>
            </w:r>
            <w:proofErr w:type="spellStart"/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  <w:proofErr w:type="spellEnd"/>
          </w:p>
        </w:tc>
        <w:tc>
          <w:tcPr>
            <w:tcW w:w="3925" w:type="dxa"/>
            <w:shd w:val="clear" w:color="auto" w:fill="EEECE1"/>
            <w:vAlign w:val="center"/>
          </w:tcPr>
          <w:p w:rsidR="00254B13" w:rsidRPr="00785158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8791" w:type="dxa"/>
            <w:gridSpan w:val="2"/>
            <w:shd w:val="clear" w:color="auto" w:fill="EEECE1"/>
            <w:vAlign w:val="center"/>
          </w:tcPr>
          <w:p w:rsidR="00254B13" w:rsidRPr="00785158" w:rsidRDefault="00254B1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254B13" w:rsidRPr="00A46CBF" w:rsidTr="005D780B">
        <w:trPr>
          <w:trHeight w:val="3510"/>
        </w:trPr>
        <w:tc>
          <w:tcPr>
            <w:tcW w:w="2843" w:type="dxa"/>
            <w:vMerge/>
            <w:shd w:val="clear" w:color="auto" w:fill="auto"/>
          </w:tcPr>
          <w:p w:rsidR="00254B13" w:rsidRPr="00C31509" w:rsidRDefault="00254B1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254B13" w:rsidRPr="00785158" w:rsidRDefault="00254B13" w:rsidP="005D780B">
            <w:pPr>
              <w:pStyle w:val="15alta"/>
              <w:spacing w:after="190"/>
              <w:rPr>
                <w:color w:val="000000"/>
                <w:lang w:val="en-US"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  <w:proofErr w:type="spellEnd"/>
          </w:p>
        </w:tc>
        <w:tc>
          <w:tcPr>
            <w:tcW w:w="8791" w:type="dxa"/>
            <w:gridSpan w:val="2"/>
            <w:shd w:val="clear" w:color="auto" w:fill="auto"/>
          </w:tcPr>
          <w:p w:rsidR="00254B13" w:rsidRPr="00785158" w:rsidRDefault="00254B1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254B13" w:rsidRDefault="00254B1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254B13" w:rsidRDefault="00254B1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Default="00254B1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54B13" w:rsidRPr="0045438F" w:rsidRDefault="00254B1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54B13" w:rsidRDefault="00254B13" w:rsidP="005D780B">
            <w:pPr>
              <w:pStyle w:val="15alta"/>
              <w:spacing w:after="190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可能直接以維護介面不經身分認證操控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。</w:t>
            </w:r>
          </w:p>
          <w:p w:rsidR="00254B13" w:rsidRPr="00785158" w:rsidRDefault="00254B13" w:rsidP="005D780B">
            <w:pPr>
              <w:pStyle w:val="15alta"/>
              <w:spacing w:after="190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254B13" w:rsidRPr="00E26B7A" w:rsidRDefault="00254B13" w:rsidP="00254B13">
      <w:pPr>
        <w:pStyle w:val="05"/>
        <w:numPr>
          <w:ilvl w:val="0"/>
          <w:numId w:val="0"/>
        </w:numPr>
        <w:rPr>
          <w:rFonts w:hint="eastAsia"/>
        </w:rPr>
      </w:pPr>
    </w:p>
    <w:p w:rsidR="00F61E36" w:rsidRPr="00254B13" w:rsidRDefault="00F61E36"/>
    <w:sectPr w:rsidR="00F61E36" w:rsidRPr="00254B13" w:rsidSect="000D0B42">
      <w:footerReference w:type="default" r:id="rId7"/>
      <w:pgSz w:w="16838" w:h="11906" w:orient="landscape"/>
      <w:pgMar w:top="720" w:right="720" w:bottom="720" w:left="720" w:header="851" w:footer="601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2A" w:rsidRDefault="00254B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54B13">
      <w:rPr>
        <w:noProof/>
        <w:lang w:val="zh-TW"/>
      </w:rPr>
      <w:t>1</w:t>
    </w:r>
    <w:r>
      <w:fldChar w:fldCharType="end"/>
    </w:r>
  </w:p>
  <w:p w:rsidR="00A77EA9" w:rsidRPr="006E5A62" w:rsidRDefault="00254B13" w:rsidP="001A052A">
    <w:pPr>
      <w:pStyle w:val="a4"/>
      <w:tabs>
        <w:tab w:val="left" w:pos="9270"/>
      </w:tabs>
      <w:jc w:val="left"/>
      <w:rPr>
        <w:rFonts w:hint="eastAsia"/>
        <w:lang w:eastAsia="zh-TW"/>
      </w:rPr>
    </w:pPr>
    <w:r>
      <w:rPr>
        <w:lang w:eastAsia="zh-TW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2" w:rsidRDefault="00254B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54B13">
      <w:rPr>
        <w:noProof/>
        <w:lang w:val="zh-TW"/>
      </w:rPr>
      <w:t>2</w:t>
    </w:r>
    <w:r>
      <w:fldChar w:fldCharType="end"/>
    </w:r>
  </w:p>
  <w:p w:rsidR="00A77EA9" w:rsidRPr="006E5A62" w:rsidRDefault="00254B13" w:rsidP="006E5A62">
    <w:pPr>
      <w:pStyle w:val="a4"/>
      <w:jc w:val="center"/>
      <w:rPr>
        <w:rFonts w:hint="eastAsia"/>
        <w:lang w:eastAsia="zh-T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2" w:rsidRDefault="00254B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54B13">
      <w:rPr>
        <w:noProof/>
        <w:lang w:val="zh-TW"/>
      </w:rPr>
      <w:t>3</w:t>
    </w:r>
    <w:r>
      <w:fldChar w:fldCharType="end"/>
    </w:r>
  </w:p>
  <w:p w:rsidR="00A77EA9" w:rsidRPr="006E5A62" w:rsidRDefault="00254B13" w:rsidP="006E5A62">
    <w:pPr>
      <w:pStyle w:val="a4"/>
      <w:jc w:val="center"/>
      <w:rPr>
        <w:rFonts w:hint="eastAsia"/>
        <w:lang w:eastAsia="zh-TW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121"/>
    <w:multiLevelType w:val="hybridMultilevel"/>
    <w:tmpl w:val="382ECAD2"/>
    <w:lvl w:ilvl="0" w:tplc="B1940D78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AC2E08"/>
    <w:multiLevelType w:val="multilevel"/>
    <w:tmpl w:val="CDB8B7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585B671B"/>
    <w:multiLevelType w:val="hybridMultilevel"/>
    <w:tmpl w:val="6A803D64"/>
    <w:lvl w:ilvl="0" w:tplc="AF0027D4">
      <w:start w:val="1"/>
      <w:numFmt w:val="taiwaneseCountingThousand"/>
      <w:pStyle w:val="05"/>
      <w:lvlText w:val="附件%1、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B13"/>
    <w:rsid w:val="00254B13"/>
    <w:rsid w:val="0090382F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B13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0"/>
    <w:next w:val="a0"/>
    <w:link w:val="10"/>
    <w:qFormat/>
    <w:rsid w:val="00254B13"/>
    <w:pPr>
      <w:numPr>
        <w:numId w:val="2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0"/>
    <w:next w:val="a0"/>
    <w:link w:val="20"/>
    <w:qFormat/>
    <w:rsid w:val="00254B13"/>
    <w:pPr>
      <w:numPr>
        <w:ilvl w:val="1"/>
        <w:numId w:val="2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0"/>
    <w:next w:val="a0"/>
    <w:link w:val="30"/>
    <w:qFormat/>
    <w:rsid w:val="00254B13"/>
    <w:pPr>
      <w:numPr>
        <w:ilvl w:val="2"/>
        <w:numId w:val="2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">
    <w:name w:val="heading 4"/>
    <w:aliases w:val="(ctrl+Num 4)"/>
    <w:basedOn w:val="a0"/>
    <w:next w:val="a0"/>
    <w:link w:val="40"/>
    <w:qFormat/>
    <w:rsid w:val="00254B13"/>
    <w:pPr>
      <w:numPr>
        <w:ilvl w:val="3"/>
        <w:numId w:val="2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">
    <w:name w:val="heading 5"/>
    <w:aliases w:val="(ctrl+Num 5)"/>
    <w:basedOn w:val="a0"/>
    <w:link w:val="50"/>
    <w:qFormat/>
    <w:rsid w:val="00254B13"/>
    <w:pPr>
      <w:numPr>
        <w:ilvl w:val="4"/>
        <w:numId w:val="2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1"/>
    <w:link w:val="1"/>
    <w:rsid w:val="00254B13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1"/>
    <w:link w:val="2"/>
    <w:rsid w:val="00254B13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1"/>
    <w:link w:val="3"/>
    <w:rsid w:val="00254B13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1"/>
    <w:link w:val="4"/>
    <w:rsid w:val="00254B13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1"/>
    <w:link w:val="5"/>
    <w:rsid w:val="00254B13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0"/>
    <w:link w:val="15alta0"/>
    <w:rsid w:val="00254B13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4">
    <w:name w:val="footer"/>
    <w:basedOn w:val="a0"/>
    <w:link w:val="a5"/>
    <w:uiPriority w:val="99"/>
    <w:rsid w:val="00254B1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尾 字元"/>
    <w:basedOn w:val="a1"/>
    <w:link w:val="a4"/>
    <w:uiPriority w:val="99"/>
    <w:rsid w:val="00254B13"/>
    <w:rPr>
      <w:rFonts w:ascii="Times New Roman" w:eastAsia="標楷體" w:hAnsi="Times New Roman" w:cs="Times New Roman"/>
      <w:sz w:val="20"/>
      <w:szCs w:val="20"/>
      <w:lang/>
    </w:rPr>
  </w:style>
  <w:style w:type="paragraph" w:customStyle="1" w:styleId="a">
    <w:name w:val="附件"/>
    <w:basedOn w:val="05"/>
    <w:rsid w:val="00254B13"/>
    <w:pPr>
      <w:numPr>
        <w:numId w:val="1"/>
      </w:numPr>
      <w:spacing w:afterLines="50"/>
    </w:pPr>
    <w:rPr>
      <w:b/>
    </w:rPr>
  </w:style>
  <w:style w:type="character" w:customStyle="1" w:styleId="15alta0">
    <w:name w:val="內文(標題1～5)(alt+a) 字元"/>
    <w:link w:val="15alta"/>
    <w:rsid w:val="00254B13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05">
    <w:name w:val="樣式 附表 + 套用後:  0.5 列"/>
    <w:basedOn w:val="a0"/>
    <w:rsid w:val="00254B13"/>
    <w:pPr>
      <w:numPr>
        <w:numId w:val="3"/>
      </w:numPr>
      <w:adjustRightInd w:val="0"/>
      <w:snapToGrid w:val="0"/>
      <w:spacing w:before="180"/>
      <w:jc w:val="left"/>
    </w:pPr>
  </w:style>
  <w:style w:type="paragraph" w:customStyle="1" w:styleId="31">
    <w:name w:val="內文左縮3"/>
    <w:basedOn w:val="a0"/>
    <w:qFormat/>
    <w:rsid w:val="00254B13"/>
    <w:pPr>
      <w:ind w:leftChars="300" w:left="300"/>
    </w:pPr>
    <w:rPr>
      <w:lang/>
    </w:rPr>
  </w:style>
  <w:style w:type="paragraph" w:styleId="a6">
    <w:name w:val="Body Text"/>
    <w:basedOn w:val="a0"/>
    <w:link w:val="a7"/>
    <w:uiPriority w:val="99"/>
    <w:semiHidden/>
    <w:unhideWhenUsed/>
    <w:rsid w:val="00254B13"/>
    <w:pPr>
      <w:spacing w:after="120"/>
    </w:pPr>
  </w:style>
  <w:style w:type="character" w:customStyle="1" w:styleId="a7">
    <w:name w:val="本文 字元"/>
    <w:basedOn w:val="a1"/>
    <w:link w:val="a6"/>
    <w:uiPriority w:val="99"/>
    <w:semiHidden/>
    <w:rsid w:val="00254B13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oter" Target="footer3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2015-01-08T08:26:00Z</dcterms:created>
  <dc:creator>syyen</dc:creator>
  <lastModifiedBy>syyen</lastModifiedBy>
  <dcterms:modified xsi:type="dcterms:W3CDTF">2015-01-08T08:27:00Z</dcterms:modified>
  <revision>1</revision>
</coreProperties>
</file>