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90" w:rsidRPr="007126FF" w:rsidRDefault="007E6F0B" w:rsidP="000821EF">
      <w:pPr>
        <w:widowControl/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126FF">
        <w:rPr>
          <w:rFonts w:ascii="標楷體" w:eastAsia="標楷體" w:hAnsi="標楷體" w:hint="eastAsia"/>
          <w:b/>
          <w:sz w:val="40"/>
          <w:szCs w:val="40"/>
        </w:rPr>
        <w:t>電信終端設備</w:t>
      </w:r>
      <w:r w:rsidR="007E47FE" w:rsidRPr="007126FF">
        <w:rPr>
          <w:rFonts w:ascii="標楷體" w:eastAsia="標楷體" w:hAnsi="標楷體" w:hint="eastAsia"/>
          <w:b/>
          <w:sz w:val="40"/>
          <w:szCs w:val="40"/>
        </w:rPr>
        <w:t>驗證機構管理</w:t>
      </w:r>
      <w:r w:rsidR="003815B1" w:rsidRPr="007126FF">
        <w:rPr>
          <w:rFonts w:ascii="標楷體" w:eastAsia="標楷體" w:hAnsi="標楷體" w:hint="eastAsia"/>
          <w:b/>
          <w:sz w:val="40"/>
          <w:szCs w:val="40"/>
        </w:rPr>
        <w:t>辦法</w:t>
      </w:r>
      <w:r w:rsidR="00AB2C90" w:rsidRPr="007126FF">
        <w:rPr>
          <w:rFonts w:ascii="標楷體" w:eastAsia="標楷體" w:hAnsi="標楷體" w:hint="eastAsia"/>
          <w:b/>
          <w:sz w:val="40"/>
          <w:szCs w:val="40"/>
        </w:rPr>
        <w:t>修正總說明</w:t>
      </w:r>
    </w:p>
    <w:p w:rsidR="00945649" w:rsidRPr="007126FF" w:rsidRDefault="001F6474" w:rsidP="00A42298">
      <w:pPr>
        <w:widowControl/>
        <w:spacing w:beforeLines="50" w:line="460" w:lineRule="exact"/>
        <w:ind w:firstLineChars="196" w:firstLine="549"/>
        <w:jc w:val="both"/>
        <w:rPr>
          <w:rFonts w:ascii="標楷體" w:eastAsia="標楷體" w:hAnsi="標楷體"/>
          <w:sz w:val="28"/>
          <w:szCs w:val="28"/>
        </w:rPr>
      </w:pPr>
      <w:r w:rsidRPr="007126FF">
        <w:rPr>
          <w:rFonts w:ascii="標楷體" w:eastAsia="標楷體" w:hAnsi="標楷體" w:hint="eastAsia"/>
          <w:sz w:val="28"/>
          <w:szCs w:val="28"/>
        </w:rPr>
        <w:t>電信終端設備驗證機構管理辦法自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九十二</w:t>
      </w:r>
      <w:r w:rsidRPr="007126FF">
        <w:rPr>
          <w:rFonts w:ascii="標楷體" w:eastAsia="標楷體" w:hAnsi="標楷體" w:hint="eastAsia"/>
          <w:sz w:val="28"/>
          <w:szCs w:val="28"/>
        </w:rPr>
        <w:t>年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十一</w:t>
      </w:r>
      <w:r w:rsidRPr="007126FF">
        <w:rPr>
          <w:rFonts w:ascii="標楷體" w:eastAsia="標楷體" w:hAnsi="標楷體" w:hint="eastAsia"/>
          <w:sz w:val="28"/>
          <w:szCs w:val="28"/>
        </w:rPr>
        <w:t>月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十七</w:t>
      </w:r>
      <w:r w:rsidRPr="007126FF">
        <w:rPr>
          <w:rFonts w:ascii="標楷體" w:eastAsia="標楷體" w:hAnsi="標楷體" w:hint="eastAsia"/>
          <w:sz w:val="28"/>
          <w:szCs w:val="28"/>
        </w:rPr>
        <w:t>日訂定發布迄今已逾</w:t>
      </w:r>
      <w:r w:rsidR="00964AA4">
        <w:rPr>
          <w:rFonts w:ascii="標楷體" w:eastAsia="標楷體" w:hAnsi="標楷體" w:hint="eastAsia"/>
          <w:sz w:val="28"/>
          <w:szCs w:val="28"/>
        </w:rPr>
        <w:t>十</w:t>
      </w:r>
      <w:r w:rsidRPr="007126FF">
        <w:rPr>
          <w:rFonts w:ascii="標楷體" w:eastAsia="標楷體" w:hAnsi="標楷體" w:hint="eastAsia"/>
          <w:sz w:val="28"/>
          <w:szCs w:val="28"/>
        </w:rPr>
        <w:t>年，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其間於</w:t>
      </w:r>
      <w:r w:rsidR="007D16FA" w:rsidRPr="007126FF">
        <w:rPr>
          <w:rFonts w:ascii="標楷體" w:eastAsia="標楷體" w:hAnsi="標楷體" w:hint="eastAsia"/>
          <w:sz w:val="28"/>
          <w:szCs w:val="28"/>
        </w:rPr>
        <w:t>九十六年七月十九日修正一次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。茲</w:t>
      </w:r>
      <w:r w:rsidRPr="007126FF">
        <w:rPr>
          <w:rFonts w:ascii="標楷體" w:eastAsia="標楷體" w:hAnsi="標楷體" w:hint="eastAsia"/>
          <w:sz w:val="28"/>
          <w:szCs w:val="28"/>
        </w:rPr>
        <w:t>為</w:t>
      </w:r>
      <w:r w:rsidR="001937B2" w:rsidRPr="007126FF">
        <w:rPr>
          <w:rFonts w:ascii="標楷體" w:eastAsia="標楷體" w:hAnsi="標楷體" w:hint="eastAsia"/>
          <w:sz w:val="28"/>
          <w:szCs w:val="28"/>
        </w:rPr>
        <w:t>簡政便民，並</w:t>
      </w:r>
      <w:r w:rsidRPr="007126FF">
        <w:rPr>
          <w:rFonts w:ascii="標楷體" w:eastAsia="標楷體" w:hAnsi="標楷體" w:hint="eastAsia"/>
          <w:sz w:val="28"/>
          <w:szCs w:val="28"/>
        </w:rPr>
        <w:t>因應本會</w:t>
      </w:r>
      <w:r w:rsidR="001937B2" w:rsidRPr="007126FF">
        <w:rPr>
          <w:rFonts w:ascii="標楷體" w:eastAsia="標楷體" w:hAnsi="標楷體" w:hint="eastAsia"/>
          <w:sz w:val="28"/>
          <w:szCs w:val="28"/>
        </w:rPr>
        <w:t>一百零五年七月一日公告生效之</w:t>
      </w:r>
      <w:r w:rsidRPr="007126FF">
        <w:rPr>
          <w:rFonts w:ascii="標楷體" w:eastAsia="標楷體" w:hAnsi="標楷體" w:hint="eastAsia"/>
          <w:sz w:val="28"/>
          <w:szCs w:val="28"/>
        </w:rPr>
        <w:t>「電信終端設備符合性聲明實施之項目」</w:t>
      </w:r>
      <w:r w:rsidR="001937B2" w:rsidRPr="007126FF">
        <w:rPr>
          <w:rFonts w:ascii="標楷體" w:eastAsia="標楷體" w:hAnsi="標楷體" w:hint="eastAsia"/>
          <w:sz w:val="28"/>
          <w:szCs w:val="28"/>
        </w:rPr>
        <w:t>，且配合</w:t>
      </w:r>
      <w:r w:rsidRPr="007126FF">
        <w:rPr>
          <w:rFonts w:ascii="標楷體" w:eastAsia="標楷體" w:hAnsi="標楷體" w:hint="eastAsia"/>
          <w:sz w:val="28"/>
          <w:szCs w:val="28"/>
        </w:rPr>
        <w:t>執行政府行政委託政策，</w:t>
      </w:r>
      <w:r w:rsidRPr="007126FF">
        <w:rPr>
          <w:rFonts w:ascii="標楷體" w:eastAsia="標楷體" w:hAnsi="標楷體" w:hint="eastAsia"/>
          <w:sz w:val="28"/>
          <w:szCs w:val="28"/>
          <w:lang w:eastAsia="zh-HK"/>
        </w:rPr>
        <w:t>擬擴大</w:t>
      </w:r>
      <w:r w:rsidRPr="007126FF">
        <w:rPr>
          <w:rFonts w:ascii="標楷體" w:eastAsia="標楷體" w:hAnsi="標楷體" w:hint="eastAsia"/>
          <w:sz w:val="28"/>
          <w:szCs w:val="28"/>
        </w:rPr>
        <w:t>將</w:t>
      </w:r>
      <w:r w:rsidRPr="007126FF">
        <w:rPr>
          <w:rFonts w:ascii="標楷體" w:eastAsia="標楷體" w:hAnsi="標楷體" w:hint="eastAsia"/>
          <w:sz w:val="28"/>
          <w:szCs w:val="28"/>
          <w:lang w:eastAsia="zh-HK"/>
        </w:rPr>
        <w:t>型式認證、符合性聲明之</w:t>
      </w:r>
      <w:r w:rsidRPr="007126FF">
        <w:rPr>
          <w:rFonts w:ascii="標楷體" w:eastAsia="標楷體" w:hAnsi="標楷體" w:hint="eastAsia"/>
          <w:sz w:val="28"/>
          <w:szCs w:val="28"/>
        </w:rPr>
        <w:t>審驗工作委外辦理，</w:t>
      </w:r>
      <w:r w:rsidR="001937B2" w:rsidRPr="007126FF">
        <w:rPr>
          <w:rFonts w:ascii="標楷體" w:eastAsia="標楷體" w:hAnsi="標楷體" w:hint="eastAsia"/>
          <w:sz w:val="28"/>
          <w:szCs w:val="28"/>
        </w:rPr>
        <w:t>爰通盤檢討</w:t>
      </w:r>
      <w:r w:rsidRPr="007126FF">
        <w:rPr>
          <w:rFonts w:ascii="標楷體" w:eastAsia="標楷體" w:hAnsi="標楷體" w:hint="eastAsia"/>
          <w:sz w:val="28"/>
          <w:szCs w:val="28"/>
        </w:rPr>
        <w:t>驗證機構管理</w:t>
      </w:r>
      <w:r w:rsidR="001937B2" w:rsidRPr="007126FF">
        <w:rPr>
          <w:rFonts w:ascii="標楷體" w:eastAsia="標楷體" w:hAnsi="標楷體" w:hint="eastAsia"/>
          <w:sz w:val="28"/>
          <w:szCs w:val="28"/>
        </w:rPr>
        <w:t>規定</w:t>
      </w:r>
      <w:r w:rsidRPr="007126FF">
        <w:rPr>
          <w:rFonts w:ascii="標楷體" w:eastAsia="標楷體" w:hAnsi="標楷體" w:hint="eastAsia"/>
          <w:sz w:val="28"/>
          <w:szCs w:val="28"/>
        </w:rPr>
        <w:t>，擬具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「</w:t>
      </w:r>
      <w:r w:rsidRPr="007126FF">
        <w:rPr>
          <w:rFonts w:ascii="標楷體" w:eastAsia="標楷體" w:hAnsi="標楷體" w:hint="eastAsia"/>
          <w:sz w:val="28"/>
          <w:szCs w:val="28"/>
        </w:rPr>
        <w:t>電信終端設備驗證機構辦法</w:t>
      </w:r>
      <w:r w:rsidR="00C818EF" w:rsidRPr="007126FF">
        <w:rPr>
          <w:rFonts w:ascii="標楷體" w:eastAsia="標楷體" w:hAnsi="標楷體" w:hint="eastAsia"/>
          <w:sz w:val="28"/>
          <w:szCs w:val="28"/>
        </w:rPr>
        <w:t>」</w:t>
      </w:r>
      <w:r w:rsidR="00A42298">
        <w:rPr>
          <w:rFonts w:ascii="標楷體" w:eastAsia="標楷體" w:hAnsi="標楷體"/>
          <w:sz w:val="28"/>
          <w:szCs w:val="28"/>
        </w:rPr>
        <w:t>修正</w:t>
      </w:r>
      <w:r w:rsidR="00A42298">
        <w:rPr>
          <w:rFonts w:ascii="標楷體" w:eastAsia="標楷體" w:hAnsi="標楷體" w:hint="eastAsia"/>
          <w:sz w:val="28"/>
          <w:szCs w:val="28"/>
        </w:rPr>
        <w:t>條文</w:t>
      </w:r>
      <w:r w:rsidRPr="007126FF">
        <w:rPr>
          <w:rFonts w:ascii="標楷體" w:eastAsia="標楷體" w:hAnsi="標楷體" w:hint="eastAsia"/>
          <w:sz w:val="28"/>
          <w:szCs w:val="28"/>
        </w:rPr>
        <w:t>，修正要點如下：</w:t>
      </w:r>
    </w:p>
    <w:p w:rsidR="00945649" w:rsidRPr="007126FF" w:rsidRDefault="00945649" w:rsidP="00945649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proofErr w:type="gramStart"/>
      <w:r w:rsidRPr="007126FF">
        <w:rPr>
          <w:rFonts w:ascii="標楷體" w:eastAsia="標楷體" w:hAnsi="標楷體" w:cs="標楷體"/>
          <w:kern w:val="3"/>
          <w:sz w:val="28"/>
          <w:szCs w:val="28"/>
        </w:rPr>
        <w:t>ㄧ</w:t>
      </w:r>
      <w:proofErr w:type="gramEnd"/>
      <w:r w:rsidRPr="007126FF">
        <w:rPr>
          <w:rFonts w:ascii="標楷體" w:eastAsia="標楷體" w:hAnsi="標楷體" w:cs="標楷體"/>
          <w:kern w:val="3"/>
          <w:sz w:val="28"/>
          <w:szCs w:val="28"/>
        </w:rPr>
        <w:t>、</w:t>
      </w:r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增訂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委託驗證機構</w:t>
      </w:r>
      <w:proofErr w:type="gramStart"/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辦理</w:t>
      </w:r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審驗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電信</w:t>
      </w:r>
      <w:proofErr w:type="gramEnd"/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終端設備</w:t>
      </w:r>
      <w:proofErr w:type="gramStart"/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之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審驗類別</w:t>
      </w:r>
      <w:proofErr w:type="gramEnd"/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，以利</w:t>
      </w:r>
      <w:r w:rsidR="00E64923" w:rsidRPr="007126FF">
        <w:rPr>
          <w:rFonts w:ascii="標楷體" w:eastAsia="標楷體" w:hAnsi="標楷體" w:hint="eastAsia"/>
          <w:sz w:val="28"/>
          <w:szCs w:val="28"/>
        </w:rPr>
        <w:t>符合性聲明</w:t>
      </w:r>
      <w:r w:rsidR="003F4F6D" w:rsidRPr="007126FF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3F4F6D" w:rsidRPr="007126FF">
        <w:rPr>
          <w:rFonts w:ascii="標楷體" w:eastAsia="標楷體" w:hAnsi="標楷體" w:hint="eastAsia"/>
          <w:sz w:val="28"/>
          <w:szCs w:val="28"/>
        </w:rPr>
        <w:t>審驗</w:t>
      </w:r>
      <w:r w:rsidR="00E64923" w:rsidRPr="007126FF">
        <w:rPr>
          <w:rFonts w:ascii="標楷體" w:eastAsia="標楷體" w:hAnsi="標楷體" w:hint="eastAsia"/>
          <w:sz w:val="28"/>
          <w:szCs w:val="28"/>
        </w:rPr>
        <w:t>委</w:t>
      </w:r>
      <w:proofErr w:type="gramEnd"/>
      <w:r w:rsidR="003F4F6D" w:rsidRPr="007126FF">
        <w:rPr>
          <w:rFonts w:ascii="標楷體" w:eastAsia="標楷體" w:hAnsi="標楷體" w:hint="eastAsia"/>
          <w:sz w:val="28"/>
          <w:szCs w:val="28"/>
        </w:rPr>
        <w:t>外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辦理。（</w:t>
      </w:r>
      <w:r w:rsidR="00E64923" w:rsidRPr="007126FF">
        <w:rPr>
          <w:rFonts w:ascii="標楷體" w:eastAsia="標楷體" w:hAnsi="標楷體" w:cs="標楷體"/>
          <w:kern w:val="3"/>
          <w:sz w:val="28"/>
          <w:szCs w:val="28"/>
        </w:rPr>
        <w:t>修正條文第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二</w:t>
      </w:r>
      <w:r w:rsidR="00E64923" w:rsidRPr="007126FF">
        <w:rPr>
          <w:rFonts w:ascii="標楷體" w:eastAsia="標楷體" w:hAnsi="標楷體" w:cs="標楷體"/>
          <w:kern w:val="3"/>
          <w:sz w:val="28"/>
          <w:szCs w:val="28"/>
        </w:rPr>
        <w:t>條</w:t>
      </w:r>
      <w:r w:rsidR="00E64923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、第九條）</w:t>
      </w:r>
    </w:p>
    <w:p w:rsidR="00945649" w:rsidRPr="007126FF" w:rsidRDefault="00E64923" w:rsidP="00945649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二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配合國際標準組織制定之</w:t>
      </w:r>
      <w:r w:rsidRPr="007126FF">
        <w:rPr>
          <w:rFonts w:ascii="標楷體" w:eastAsia="標楷體" w:hAnsi="標楷體" w:cs="標楷體"/>
          <w:kern w:val="3"/>
          <w:sz w:val="28"/>
          <w:szCs w:val="28"/>
        </w:rPr>
        <w:t>ISO/IEC Guide 65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產品驗證機構認證規範提供認證服務業已修正為</w:t>
      </w:r>
      <w:r w:rsidRPr="007126FF">
        <w:rPr>
          <w:rFonts w:ascii="標楷體" w:eastAsia="標楷體" w:hAnsi="標楷體" w:cs="標楷體"/>
          <w:kern w:val="3"/>
          <w:sz w:val="28"/>
          <w:szCs w:val="28"/>
        </w:rPr>
        <w:t>CNS 17065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或</w:t>
      </w:r>
      <w:r w:rsidRPr="007126FF">
        <w:rPr>
          <w:rFonts w:ascii="標楷體" w:eastAsia="標楷體" w:hAnsi="標楷體" w:cs="標楷體"/>
          <w:kern w:val="3"/>
          <w:sz w:val="28"/>
          <w:szCs w:val="28"/>
        </w:rPr>
        <w:t>ISO/IEC 17065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，</w:t>
      </w:r>
      <w:proofErr w:type="gramStart"/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爰</w:t>
      </w:r>
      <w:proofErr w:type="gramEnd"/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修正評鑑標準。（</w:t>
      </w:r>
      <w:r w:rsidRPr="007126FF">
        <w:rPr>
          <w:rFonts w:ascii="標楷體" w:eastAsia="標楷體" w:hAnsi="標楷體" w:cs="標楷體"/>
          <w:kern w:val="3"/>
          <w:sz w:val="28"/>
          <w:szCs w:val="28"/>
        </w:rPr>
        <w:t>修正條文第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五</w:t>
      </w:r>
      <w:r w:rsidRPr="007126FF">
        <w:rPr>
          <w:rFonts w:ascii="標楷體" w:eastAsia="標楷體" w:hAnsi="標楷體" w:cs="標楷體"/>
          <w:kern w:val="3"/>
          <w:sz w:val="28"/>
          <w:szCs w:val="28"/>
        </w:rPr>
        <w:t>條</w:t>
      </w: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）</w:t>
      </w:r>
    </w:p>
    <w:p w:rsidR="00945649" w:rsidRPr="007126FF" w:rsidRDefault="00E64923" w:rsidP="00945649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三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、增訂驗證機構申請減列項目仍應依規定辦理</w:t>
      </w:r>
      <w:proofErr w:type="gramStart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委託審驗契約</w:t>
      </w:r>
      <w:proofErr w:type="gramEnd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、認證證書之換發</w:t>
      </w:r>
      <w:r w:rsidR="002C28A1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；驗證機構之檢驗機構經本國認證組織確認應暫停執行事務，於改正並經該認證組織確認可執行事務後，應先報請本會備查核准後，始得</w:t>
      </w:r>
      <w:proofErr w:type="gramStart"/>
      <w:r w:rsidR="002C28A1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辦理審驗工作</w:t>
      </w:r>
      <w:proofErr w:type="gramEnd"/>
      <w:r w:rsidR="002C28A1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。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（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修正條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文第九條）</w:t>
      </w:r>
    </w:p>
    <w:p w:rsidR="007D16FA" w:rsidRPr="007126FF" w:rsidRDefault="00E64923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四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、增訂驗證機構</w:t>
      </w:r>
      <w:proofErr w:type="gramStart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自審驗完成</w:t>
      </w:r>
      <w:proofErr w:type="gramEnd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之日起七個工作天內，應</w:t>
      </w:r>
      <w:proofErr w:type="gramStart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將審驗案件</w:t>
      </w:r>
      <w:proofErr w:type="gramEnd"/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資料傳送至本會指定之位置，以提供消費者充分與正確之資訊。</w:t>
      </w:r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（修正條文第十條）</w:t>
      </w:r>
    </w:p>
    <w:p w:rsidR="00945649" w:rsidRPr="007126FF" w:rsidRDefault="002C28A1" w:rsidP="00945649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五、</w:t>
      </w:r>
      <w:r w:rsidR="00853E80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為區分驗證機構之作業方式與抽驗之規定，</w:t>
      </w:r>
      <w:proofErr w:type="gramStart"/>
      <w:r w:rsidR="00AD6DA4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爰</w:t>
      </w:r>
      <w:proofErr w:type="gramEnd"/>
      <w:r w:rsidR="00853E80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將</w:t>
      </w:r>
      <w:r w:rsidR="003557DC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現行</w:t>
      </w:r>
      <w:r w:rsidR="00853E80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條文第十條分</w:t>
      </w:r>
      <w:r w:rsidR="00AD6DA4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列</w:t>
      </w:r>
      <w:r w:rsidR="00853E80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二條，並增訂交叉抽驗機制，以落實抽驗精神。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（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修正條文第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十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條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、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第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十一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條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）</w:t>
      </w:r>
    </w:p>
    <w:p w:rsidR="003F4F6D" w:rsidRPr="007126FF" w:rsidRDefault="002C28A1" w:rsidP="00945649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六、</w:t>
      </w:r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考量驗證機構製作抽驗結果涉及外國申請者或具特殊性，花費較多時間，</w:t>
      </w:r>
      <w:proofErr w:type="gramStart"/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爰</w:t>
      </w:r>
      <w:proofErr w:type="gramEnd"/>
      <w:r w:rsidR="003F4F6D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增訂驗證機構無法於期限內完成抽驗結果時，得申請展期延長二個月。（修正條文第十一條）</w:t>
      </w:r>
    </w:p>
    <w:p w:rsidR="00945649" w:rsidRPr="007126FF" w:rsidRDefault="00835140" w:rsidP="003D6567">
      <w:pPr>
        <w:widowControl/>
        <w:suppressAutoHyphens/>
        <w:autoSpaceDN w:val="0"/>
        <w:spacing w:line="460" w:lineRule="exact"/>
        <w:ind w:left="560" w:hanging="560"/>
        <w:jc w:val="both"/>
        <w:textAlignment w:val="baseline"/>
        <w:rPr>
          <w:rFonts w:ascii="標楷體" w:eastAsia="標楷體" w:hAnsi="標楷體"/>
          <w:sz w:val="40"/>
          <w:szCs w:val="40"/>
        </w:rPr>
      </w:pPr>
      <w:r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七、</w:t>
      </w:r>
      <w:r w:rsidR="00AC1CD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刪除驗證機構於委託期限屆滿後須經評鑑，始得</w:t>
      </w:r>
      <w:proofErr w:type="gramStart"/>
      <w:r w:rsidR="00AC1CD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辦理審驗業務</w:t>
      </w:r>
      <w:proofErr w:type="gramEnd"/>
      <w:r w:rsidR="00AC1CD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規定，以簡化程序。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（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修正條文第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十</w:t>
      </w:r>
      <w:r w:rsidR="00F97114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三</w:t>
      </w:r>
      <w:r w:rsidR="00945649" w:rsidRPr="007126FF">
        <w:rPr>
          <w:rFonts w:ascii="標楷體" w:eastAsia="標楷體" w:hAnsi="標楷體" w:cs="標楷體"/>
          <w:kern w:val="3"/>
          <w:sz w:val="28"/>
          <w:szCs w:val="28"/>
        </w:rPr>
        <w:t>條</w:t>
      </w:r>
      <w:r w:rsidR="00945649" w:rsidRPr="007126FF">
        <w:rPr>
          <w:rFonts w:ascii="標楷體" w:eastAsia="標楷體" w:hAnsi="標楷體" w:cs="標楷體" w:hint="eastAsia"/>
          <w:kern w:val="3"/>
          <w:sz w:val="28"/>
          <w:szCs w:val="28"/>
        </w:rPr>
        <w:t>）</w:t>
      </w:r>
    </w:p>
    <w:p w:rsidR="007E47FE" w:rsidRPr="007126FF" w:rsidRDefault="007E47FE" w:rsidP="007E47FE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</w:p>
    <w:sectPr w:rsidR="007E47FE" w:rsidRPr="007126FF" w:rsidSect="00C818EF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11" w:rsidRDefault="00360511" w:rsidP="00C57F87">
      <w:r>
        <w:separator/>
      </w:r>
    </w:p>
  </w:endnote>
  <w:endnote w:type="continuationSeparator" w:id="0">
    <w:p w:rsidR="00360511" w:rsidRDefault="00360511" w:rsidP="00C5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610"/>
      <w:docPartObj>
        <w:docPartGallery w:val="Page Numbers (Bottom of Page)"/>
        <w:docPartUnique/>
      </w:docPartObj>
    </w:sdtPr>
    <w:sdtContent>
      <w:p w:rsidR="003336F2" w:rsidRDefault="00332DC6" w:rsidP="003336F2">
        <w:pPr>
          <w:pStyle w:val="a8"/>
          <w:jc w:val="center"/>
        </w:pPr>
        <w:fldSimple w:instr=" PAGE   \* MERGEFORMAT ">
          <w:r w:rsidR="00A42298" w:rsidRPr="00A42298">
            <w:rPr>
              <w:noProof/>
              <w:lang w:val="zh-TW"/>
            </w:rPr>
            <w:t>1</w:t>
          </w:r>
        </w:fldSimple>
      </w:p>
    </w:sdtContent>
  </w:sdt>
  <w:p w:rsidR="003336F2" w:rsidRDefault="00333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11" w:rsidRDefault="00360511" w:rsidP="00C57F87">
      <w:r>
        <w:separator/>
      </w:r>
    </w:p>
  </w:footnote>
  <w:footnote w:type="continuationSeparator" w:id="0">
    <w:p w:rsidR="00360511" w:rsidRDefault="00360511" w:rsidP="00C57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FF1"/>
    <w:rsid w:val="000016E8"/>
    <w:rsid w:val="00001A52"/>
    <w:rsid w:val="000065D3"/>
    <w:rsid w:val="00013613"/>
    <w:rsid w:val="00013DC7"/>
    <w:rsid w:val="000141CF"/>
    <w:rsid w:val="00014382"/>
    <w:rsid w:val="000213E3"/>
    <w:rsid w:val="00021F27"/>
    <w:rsid w:val="00026A63"/>
    <w:rsid w:val="00031063"/>
    <w:rsid w:val="00033C9F"/>
    <w:rsid w:val="000374FC"/>
    <w:rsid w:val="00043AAD"/>
    <w:rsid w:val="00055205"/>
    <w:rsid w:val="00072819"/>
    <w:rsid w:val="0007338E"/>
    <w:rsid w:val="000821EF"/>
    <w:rsid w:val="0008331F"/>
    <w:rsid w:val="00084AC8"/>
    <w:rsid w:val="00095AF5"/>
    <w:rsid w:val="0009707F"/>
    <w:rsid w:val="000A230E"/>
    <w:rsid w:val="000A47C3"/>
    <w:rsid w:val="000B725F"/>
    <w:rsid w:val="000D0690"/>
    <w:rsid w:val="000D5034"/>
    <w:rsid w:val="000E709B"/>
    <w:rsid w:val="000F7999"/>
    <w:rsid w:val="0011505E"/>
    <w:rsid w:val="00161D25"/>
    <w:rsid w:val="00161E65"/>
    <w:rsid w:val="00170016"/>
    <w:rsid w:val="00180356"/>
    <w:rsid w:val="00183FF3"/>
    <w:rsid w:val="001937B2"/>
    <w:rsid w:val="00195F36"/>
    <w:rsid w:val="001A106D"/>
    <w:rsid w:val="001B492F"/>
    <w:rsid w:val="001E7954"/>
    <w:rsid w:val="001E79D3"/>
    <w:rsid w:val="001F6474"/>
    <w:rsid w:val="0020120F"/>
    <w:rsid w:val="00204CF7"/>
    <w:rsid w:val="002067BE"/>
    <w:rsid w:val="002153C6"/>
    <w:rsid w:val="00223E65"/>
    <w:rsid w:val="002246EE"/>
    <w:rsid w:val="00225F70"/>
    <w:rsid w:val="00232079"/>
    <w:rsid w:val="00237634"/>
    <w:rsid w:val="00255673"/>
    <w:rsid w:val="00260065"/>
    <w:rsid w:val="002639E3"/>
    <w:rsid w:val="0027105F"/>
    <w:rsid w:val="00281561"/>
    <w:rsid w:val="002C28A1"/>
    <w:rsid w:val="002C63E6"/>
    <w:rsid w:val="002C6804"/>
    <w:rsid w:val="002D3A33"/>
    <w:rsid w:val="002E0DFC"/>
    <w:rsid w:val="002E62CF"/>
    <w:rsid w:val="002F7858"/>
    <w:rsid w:val="00317B4A"/>
    <w:rsid w:val="00323574"/>
    <w:rsid w:val="003272B3"/>
    <w:rsid w:val="0032789C"/>
    <w:rsid w:val="003308A4"/>
    <w:rsid w:val="00332DC6"/>
    <w:rsid w:val="003336F2"/>
    <w:rsid w:val="00336363"/>
    <w:rsid w:val="00343F54"/>
    <w:rsid w:val="00351D8B"/>
    <w:rsid w:val="00353979"/>
    <w:rsid w:val="003557DC"/>
    <w:rsid w:val="003559F7"/>
    <w:rsid w:val="003563F3"/>
    <w:rsid w:val="00360511"/>
    <w:rsid w:val="003727D0"/>
    <w:rsid w:val="003815B1"/>
    <w:rsid w:val="00382AE6"/>
    <w:rsid w:val="003917D4"/>
    <w:rsid w:val="00394983"/>
    <w:rsid w:val="00395AE3"/>
    <w:rsid w:val="003B3EFF"/>
    <w:rsid w:val="003B6501"/>
    <w:rsid w:val="003D4197"/>
    <w:rsid w:val="003D6567"/>
    <w:rsid w:val="003D6B5A"/>
    <w:rsid w:val="003E132C"/>
    <w:rsid w:val="003E64FD"/>
    <w:rsid w:val="003F4F6D"/>
    <w:rsid w:val="003F5D1B"/>
    <w:rsid w:val="004038C5"/>
    <w:rsid w:val="00417FE1"/>
    <w:rsid w:val="00426CB0"/>
    <w:rsid w:val="00432174"/>
    <w:rsid w:val="00436215"/>
    <w:rsid w:val="00441C14"/>
    <w:rsid w:val="004461B5"/>
    <w:rsid w:val="00454A45"/>
    <w:rsid w:val="00494D96"/>
    <w:rsid w:val="004A159F"/>
    <w:rsid w:val="004A7C03"/>
    <w:rsid w:val="004E0864"/>
    <w:rsid w:val="004E108C"/>
    <w:rsid w:val="004E15CA"/>
    <w:rsid w:val="004E5113"/>
    <w:rsid w:val="004F459A"/>
    <w:rsid w:val="004F710E"/>
    <w:rsid w:val="004F77BB"/>
    <w:rsid w:val="00504049"/>
    <w:rsid w:val="00507529"/>
    <w:rsid w:val="00511F35"/>
    <w:rsid w:val="005226E8"/>
    <w:rsid w:val="0053036F"/>
    <w:rsid w:val="005402A5"/>
    <w:rsid w:val="0054654E"/>
    <w:rsid w:val="0057173F"/>
    <w:rsid w:val="00576306"/>
    <w:rsid w:val="00587A26"/>
    <w:rsid w:val="00595E8B"/>
    <w:rsid w:val="00597151"/>
    <w:rsid w:val="00622489"/>
    <w:rsid w:val="0062442D"/>
    <w:rsid w:val="006304F2"/>
    <w:rsid w:val="00640F52"/>
    <w:rsid w:val="00644584"/>
    <w:rsid w:val="0066519A"/>
    <w:rsid w:val="006877A4"/>
    <w:rsid w:val="0069091A"/>
    <w:rsid w:val="006B4BFE"/>
    <w:rsid w:val="006C08AE"/>
    <w:rsid w:val="006C5ADE"/>
    <w:rsid w:val="006D4FF1"/>
    <w:rsid w:val="006D7BA5"/>
    <w:rsid w:val="006E40B3"/>
    <w:rsid w:val="00706C2C"/>
    <w:rsid w:val="00707110"/>
    <w:rsid w:val="007126FF"/>
    <w:rsid w:val="00724117"/>
    <w:rsid w:val="00724FDD"/>
    <w:rsid w:val="00754D3A"/>
    <w:rsid w:val="00761CB9"/>
    <w:rsid w:val="00773A26"/>
    <w:rsid w:val="00787F32"/>
    <w:rsid w:val="00797553"/>
    <w:rsid w:val="007B3C93"/>
    <w:rsid w:val="007C0AF7"/>
    <w:rsid w:val="007D16FA"/>
    <w:rsid w:val="007E062E"/>
    <w:rsid w:val="007E47FE"/>
    <w:rsid w:val="007E637D"/>
    <w:rsid w:val="007E6F0B"/>
    <w:rsid w:val="007F285A"/>
    <w:rsid w:val="007F2C87"/>
    <w:rsid w:val="007F4ED1"/>
    <w:rsid w:val="00820CC5"/>
    <w:rsid w:val="00825D8A"/>
    <w:rsid w:val="0083261D"/>
    <w:rsid w:val="00833C85"/>
    <w:rsid w:val="008344A3"/>
    <w:rsid w:val="00835140"/>
    <w:rsid w:val="008408EC"/>
    <w:rsid w:val="00847061"/>
    <w:rsid w:val="00853E80"/>
    <w:rsid w:val="00862E75"/>
    <w:rsid w:val="00874898"/>
    <w:rsid w:val="00885FC7"/>
    <w:rsid w:val="008C0C31"/>
    <w:rsid w:val="008C3844"/>
    <w:rsid w:val="008D3700"/>
    <w:rsid w:val="008F676B"/>
    <w:rsid w:val="00906381"/>
    <w:rsid w:val="00910C03"/>
    <w:rsid w:val="009153A8"/>
    <w:rsid w:val="0093073B"/>
    <w:rsid w:val="00932C68"/>
    <w:rsid w:val="00941D5D"/>
    <w:rsid w:val="00945649"/>
    <w:rsid w:val="00947487"/>
    <w:rsid w:val="0095455A"/>
    <w:rsid w:val="009619A2"/>
    <w:rsid w:val="00964AA4"/>
    <w:rsid w:val="00975B89"/>
    <w:rsid w:val="00987E14"/>
    <w:rsid w:val="009A17AA"/>
    <w:rsid w:val="009A517C"/>
    <w:rsid w:val="009B11C3"/>
    <w:rsid w:val="009B1DE8"/>
    <w:rsid w:val="009B4C14"/>
    <w:rsid w:val="009C365F"/>
    <w:rsid w:val="009C5E3B"/>
    <w:rsid w:val="009E1EC2"/>
    <w:rsid w:val="009E53A6"/>
    <w:rsid w:val="009E60F1"/>
    <w:rsid w:val="009F722C"/>
    <w:rsid w:val="00A25F70"/>
    <w:rsid w:val="00A30DEF"/>
    <w:rsid w:val="00A35288"/>
    <w:rsid w:val="00A374EC"/>
    <w:rsid w:val="00A376A0"/>
    <w:rsid w:val="00A41D33"/>
    <w:rsid w:val="00A42298"/>
    <w:rsid w:val="00A435F1"/>
    <w:rsid w:val="00A47EB8"/>
    <w:rsid w:val="00A52912"/>
    <w:rsid w:val="00A602F9"/>
    <w:rsid w:val="00A706D4"/>
    <w:rsid w:val="00A8085C"/>
    <w:rsid w:val="00A8169D"/>
    <w:rsid w:val="00A92D18"/>
    <w:rsid w:val="00AA5C20"/>
    <w:rsid w:val="00AA77D1"/>
    <w:rsid w:val="00AB1107"/>
    <w:rsid w:val="00AB17F8"/>
    <w:rsid w:val="00AB2C90"/>
    <w:rsid w:val="00AB4382"/>
    <w:rsid w:val="00AC04C0"/>
    <w:rsid w:val="00AC1CD9"/>
    <w:rsid w:val="00AC3638"/>
    <w:rsid w:val="00AC5979"/>
    <w:rsid w:val="00AD6DA4"/>
    <w:rsid w:val="00AE6ED9"/>
    <w:rsid w:val="00B027F8"/>
    <w:rsid w:val="00B21976"/>
    <w:rsid w:val="00B21BA4"/>
    <w:rsid w:val="00B26458"/>
    <w:rsid w:val="00B5559D"/>
    <w:rsid w:val="00B561A1"/>
    <w:rsid w:val="00B67479"/>
    <w:rsid w:val="00B72746"/>
    <w:rsid w:val="00B76B22"/>
    <w:rsid w:val="00B773DC"/>
    <w:rsid w:val="00BA3D44"/>
    <w:rsid w:val="00BA4722"/>
    <w:rsid w:val="00BB14CA"/>
    <w:rsid w:val="00BB653E"/>
    <w:rsid w:val="00BB7E00"/>
    <w:rsid w:val="00BC30C1"/>
    <w:rsid w:val="00BD1968"/>
    <w:rsid w:val="00BD2116"/>
    <w:rsid w:val="00BD3F7E"/>
    <w:rsid w:val="00BE63E4"/>
    <w:rsid w:val="00C01575"/>
    <w:rsid w:val="00C05418"/>
    <w:rsid w:val="00C17CD5"/>
    <w:rsid w:val="00C26DE2"/>
    <w:rsid w:val="00C34907"/>
    <w:rsid w:val="00C366EA"/>
    <w:rsid w:val="00C430DA"/>
    <w:rsid w:val="00C4653F"/>
    <w:rsid w:val="00C50666"/>
    <w:rsid w:val="00C50CFE"/>
    <w:rsid w:val="00C56101"/>
    <w:rsid w:val="00C57F87"/>
    <w:rsid w:val="00C57FA7"/>
    <w:rsid w:val="00C62B5F"/>
    <w:rsid w:val="00C70291"/>
    <w:rsid w:val="00C76C1D"/>
    <w:rsid w:val="00C818EF"/>
    <w:rsid w:val="00C94A4E"/>
    <w:rsid w:val="00C94D8D"/>
    <w:rsid w:val="00C97222"/>
    <w:rsid w:val="00CB2B56"/>
    <w:rsid w:val="00CC310B"/>
    <w:rsid w:val="00CC348F"/>
    <w:rsid w:val="00CC7294"/>
    <w:rsid w:val="00CD361B"/>
    <w:rsid w:val="00CF6286"/>
    <w:rsid w:val="00CF6A6B"/>
    <w:rsid w:val="00D02293"/>
    <w:rsid w:val="00D038FA"/>
    <w:rsid w:val="00D11E91"/>
    <w:rsid w:val="00D24BBA"/>
    <w:rsid w:val="00D42247"/>
    <w:rsid w:val="00D44B06"/>
    <w:rsid w:val="00D75E50"/>
    <w:rsid w:val="00D83F89"/>
    <w:rsid w:val="00D85418"/>
    <w:rsid w:val="00D85A0B"/>
    <w:rsid w:val="00DB70E5"/>
    <w:rsid w:val="00DB7ACD"/>
    <w:rsid w:val="00DC218E"/>
    <w:rsid w:val="00DD0EE9"/>
    <w:rsid w:val="00DD641B"/>
    <w:rsid w:val="00DF079E"/>
    <w:rsid w:val="00DF512B"/>
    <w:rsid w:val="00E00BC0"/>
    <w:rsid w:val="00E24057"/>
    <w:rsid w:val="00E64923"/>
    <w:rsid w:val="00E66141"/>
    <w:rsid w:val="00E70F55"/>
    <w:rsid w:val="00E74F08"/>
    <w:rsid w:val="00E838CE"/>
    <w:rsid w:val="00E83F39"/>
    <w:rsid w:val="00E84F45"/>
    <w:rsid w:val="00E90890"/>
    <w:rsid w:val="00E90E89"/>
    <w:rsid w:val="00E929A8"/>
    <w:rsid w:val="00EA1A5E"/>
    <w:rsid w:val="00EA761B"/>
    <w:rsid w:val="00EB03C5"/>
    <w:rsid w:val="00EB2B4F"/>
    <w:rsid w:val="00EB4276"/>
    <w:rsid w:val="00ED44BA"/>
    <w:rsid w:val="00ED5719"/>
    <w:rsid w:val="00EE00A5"/>
    <w:rsid w:val="00EE0922"/>
    <w:rsid w:val="00F02D19"/>
    <w:rsid w:val="00F36F18"/>
    <w:rsid w:val="00F40109"/>
    <w:rsid w:val="00F51F88"/>
    <w:rsid w:val="00F573A3"/>
    <w:rsid w:val="00F62FB9"/>
    <w:rsid w:val="00F72223"/>
    <w:rsid w:val="00F813AD"/>
    <w:rsid w:val="00F87406"/>
    <w:rsid w:val="00F97114"/>
    <w:rsid w:val="00FB7FC8"/>
    <w:rsid w:val="00FD0CD1"/>
    <w:rsid w:val="00FD7FB8"/>
    <w:rsid w:val="00FE0A30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D4FF1"/>
    <w:pPr>
      <w:ind w:left="567" w:hanging="567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縮排 字元"/>
    <w:basedOn w:val="a0"/>
    <w:link w:val="a4"/>
    <w:uiPriority w:val="99"/>
    <w:locked/>
    <w:rsid w:val="006D4FF1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C5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57F8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5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57F87"/>
    <w:rPr>
      <w:rFonts w:ascii="Calibri" w:eastAsia="新細明體" w:hAnsi="Calibri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8C0C3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C0C31"/>
    <w:rPr>
      <w:rFonts w:ascii="Times New Roman" w:hAnsi="Times New Roman"/>
      <w:szCs w:val="24"/>
    </w:rPr>
  </w:style>
  <w:style w:type="character" w:customStyle="1" w:styleId="CommentTextChar">
    <w:name w:val="Comment Text Char"/>
    <w:basedOn w:val="a0"/>
    <w:link w:val="ab"/>
    <w:uiPriority w:val="99"/>
    <w:semiHidden/>
    <w:rsid w:val="00DE5DC5"/>
  </w:style>
  <w:style w:type="character" w:customStyle="1" w:styleId="ac">
    <w:name w:val="註解文字 字元"/>
    <w:basedOn w:val="a0"/>
    <w:link w:val="ab"/>
    <w:uiPriority w:val="99"/>
    <w:semiHidden/>
    <w:locked/>
    <w:rsid w:val="008C0C3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d">
    <w:name w:val="Balloon Text"/>
    <w:basedOn w:val="a"/>
    <w:link w:val="ae"/>
    <w:uiPriority w:val="99"/>
    <w:semiHidden/>
    <w:unhideWhenUsed/>
    <w:rsid w:val="002C63E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63E6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F573A3"/>
    <w:pPr>
      <w:ind w:leftChars="200" w:left="480"/>
    </w:pPr>
  </w:style>
  <w:style w:type="paragraph" w:customStyle="1" w:styleId="af0">
    <w:name w:val="a"/>
    <w:basedOn w:val="a"/>
    <w:rsid w:val="00AB11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18E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A491-DA22-4E25-AFDC-CB65776B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國家通訊傳播委員會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電信管制射頻器材審驗辦法第八條修正草案</dc:title>
  <dc:creator>資源技術處通傳資安設備認證科張訓達</dc:creator>
  <cp:lastModifiedBy>射頻與資源管理處射頻管制與認證科姜政男</cp:lastModifiedBy>
  <cp:revision>3</cp:revision>
  <cp:lastPrinted>2014-11-11T03:28:00Z</cp:lastPrinted>
  <dcterms:created xsi:type="dcterms:W3CDTF">2017-06-06T09:31:00Z</dcterms:created>
  <dcterms:modified xsi:type="dcterms:W3CDTF">2017-06-06T09:48:00Z</dcterms:modified>
</cp:coreProperties>
</file>