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56" w:rsidRPr="00CA5983" w:rsidRDefault="00915556" w:rsidP="00915556">
      <w:pPr>
        <w:ind w:left="0" w:firstLine="0"/>
        <w:jc w:val="center"/>
        <w:rPr>
          <w:rFonts w:ascii="標楷體" w:eastAsia="標楷體" w:hAnsi="標楷體" w:cs="標楷體"/>
          <w:color w:val="auto"/>
          <w:sz w:val="40"/>
          <w:szCs w:val="40"/>
        </w:rPr>
      </w:pPr>
      <w:r w:rsidRPr="00CA5983">
        <w:rPr>
          <w:rFonts w:ascii="標楷體" w:eastAsia="標楷體" w:hAnsi="標楷體" w:cs="標楷體"/>
          <w:color w:val="auto"/>
          <w:sz w:val="40"/>
          <w:szCs w:val="40"/>
        </w:rPr>
        <w:t>電信管理法</w:t>
      </w:r>
      <w:bookmarkStart w:id="0" w:name="_GoBack"/>
      <w:bookmarkEnd w:id="0"/>
      <w:r w:rsidRPr="00CA5983">
        <w:rPr>
          <w:rFonts w:ascii="標楷體" w:eastAsia="標楷體" w:hAnsi="標楷體" w:cs="標楷體"/>
          <w:color w:val="auto"/>
          <w:sz w:val="40"/>
          <w:szCs w:val="40"/>
        </w:rPr>
        <w:t>總說明</w:t>
      </w:r>
    </w:p>
    <w:p w:rsidR="00915556" w:rsidRPr="00CA5983" w:rsidRDefault="00915556" w:rsidP="00116417">
      <w:pPr>
        <w:spacing w:line="460" w:lineRule="exact"/>
        <w:ind w:left="0" w:firstLine="56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隨著通訊傳播與資訊科技技術日新月異，電信、傳播及網際網路基礎建設與網路服務，因寬頻化及數位化之推波助瀾，得以將語音、影像、數據等不同</w:t>
      </w:r>
      <w:r w:rsidR="00C07A6E" w:rsidRPr="00CA5983">
        <w:rPr>
          <w:rFonts w:ascii="標楷體" w:eastAsia="標楷體" w:hAnsi="標楷體" w:cs="標楷體"/>
          <w:color w:val="auto"/>
          <w:sz w:val="28"/>
          <w:szCs w:val="28"/>
        </w:rPr>
        <w:t>訊息內容，充分整合並快速傳遞；</w:t>
      </w:r>
      <w:proofErr w:type="gramStart"/>
      <w:r w:rsidR="00C07A6E" w:rsidRPr="00CA5983">
        <w:rPr>
          <w:rFonts w:ascii="標楷體" w:eastAsia="標楷體" w:hAnsi="標楷體" w:cs="標楷體"/>
          <w:color w:val="auto"/>
          <w:sz w:val="28"/>
          <w:szCs w:val="28"/>
        </w:rPr>
        <w:t>此外，</w:t>
      </w:r>
      <w:proofErr w:type="gramEnd"/>
      <w:r w:rsidR="00C07A6E" w:rsidRPr="00CA5983">
        <w:rPr>
          <w:rFonts w:ascii="標楷體" w:eastAsia="標楷體" w:hAnsi="標楷體" w:cs="標楷體"/>
          <w:color w:val="auto"/>
          <w:sz w:val="28"/>
          <w:szCs w:val="28"/>
        </w:rPr>
        <w:t>行動智慧終端裝置</w:t>
      </w:r>
      <w:r w:rsidRPr="00CA5983">
        <w:rPr>
          <w:rFonts w:ascii="標楷體" w:eastAsia="標楷體" w:hAnsi="標楷體" w:cs="標楷體"/>
          <w:color w:val="auto"/>
          <w:sz w:val="28"/>
          <w:szCs w:val="28"/>
        </w:rPr>
        <w:t>推出與</w:t>
      </w:r>
      <w:proofErr w:type="gramStart"/>
      <w:r w:rsidRPr="00CA5983">
        <w:rPr>
          <w:rFonts w:ascii="標楷體" w:eastAsia="標楷體" w:hAnsi="標楷體" w:cs="標楷體"/>
          <w:color w:val="auto"/>
          <w:sz w:val="28"/>
          <w:szCs w:val="28"/>
        </w:rPr>
        <w:t>普及，</w:t>
      </w:r>
      <w:proofErr w:type="gramEnd"/>
      <w:r w:rsidRPr="00CA5983">
        <w:rPr>
          <w:rFonts w:ascii="標楷體" w:eastAsia="標楷體" w:hAnsi="標楷體" w:cs="標楷體"/>
          <w:color w:val="auto"/>
          <w:sz w:val="28"/>
          <w:szCs w:val="28"/>
        </w:rPr>
        <w:t>消費者得以透過各種連</w:t>
      </w:r>
      <w:r w:rsidR="00C07A6E" w:rsidRPr="00CA5983">
        <w:rPr>
          <w:rFonts w:ascii="標楷體" w:eastAsia="標楷體" w:hAnsi="標楷體" w:cs="標楷體"/>
          <w:color w:val="auto"/>
          <w:sz w:val="28"/>
          <w:szCs w:val="28"/>
        </w:rPr>
        <w:t>網服務，取得網際網路上所提供</w:t>
      </w:r>
      <w:r w:rsidR="00C07A6E" w:rsidRPr="00CA5983">
        <w:rPr>
          <w:rFonts w:ascii="標楷體" w:eastAsia="標楷體" w:hAnsi="標楷體" w:cs="標楷體" w:hint="eastAsia"/>
          <w:color w:val="auto"/>
          <w:sz w:val="28"/>
          <w:szCs w:val="28"/>
        </w:rPr>
        <w:t>之</w:t>
      </w:r>
      <w:r w:rsidR="00C07A6E" w:rsidRPr="00CA5983">
        <w:rPr>
          <w:rFonts w:ascii="標楷體" w:eastAsia="標楷體" w:hAnsi="標楷體" w:cs="標楷體"/>
          <w:color w:val="auto"/>
          <w:sz w:val="28"/>
          <w:szCs w:val="28"/>
        </w:rPr>
        <w:t>各式服務，更帶動各式資訊應用服務</w:t>
      </w:r>
      <w:r w:rsidRPr="00CA5983">
        <w:rPr>
          <w:rFonts w:ascii="標楷體" w:eastAsia="標楷體" w:hAnsi="標楷體" w:cs="標楷體"/>
          <w:color w:val="auto"/>
          <w:sz w:val="28"/>
          <w:szCs w:val="28"/>
        </w:rPr>
        <w:t>蓬勃發展。不論是金融、能源、交通、教</w:t>
      </w:r>
      <w:r w:rsidR="00C07A6E" w:rsidRPr="00CA5983">
        <w:rPr>
          <w:rFonts w:ascii="標楷體" w:eastAsia="標楷體" w:hAnsi="標楷體" w:cs="標楷體"/>
          <w:color w:val="auto"/>
          <w:sz w:val="28"/>
          <w:szCs w:val="28"/>
        </w:rPr>
        <w:t>育、通訊傳播、醫療健康、社福乃至政府運作體系，皆可看到數位型態經濟與產業典範轉移所帶動</w:t>
      </w:r>
      <w:r w:rsidR="00C07A6E" w:rsidRPr="00CA5983">
        <w:rPr>
          <w:rFonts w:ascii="標楷體" w:eastAsia="標楷體" w:hAnsi="標楷體" w:cs="標楷體" w:hint="eastAsia"/>
          <w:color w:val="auto"/>
          <w:sz w:val="28"/>
          <w:szCs w:val="28"/>
        </w:rPr>
        <w:t>之</w:t>
      </w:r>
      <w:r w:rsidR="00C07A6E" w:rsidRPr="00CA5983">
        <w:rPr>
          <w:rFonts w:ascii="標楷體" w:eastAsia="標楷體" w:hAnsi="標楷體" w:cs="標楷體"/>
          <w:color w:val="auto"/>
          <w:sz w:val="28"/>
          <w:szCs w:val="28"/>
        </w:rPr>
        <w:t>革新，並急遽地改變人們生活型態與互動方式，同時也帶來新數位經濟發展。以傳統通訊傳播網路及服務作為主要規範對象</w:t>
      </w:r>
      <w:r w:rsidR="00C07A6E"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電信及廣播電視等相關規範，不僅因匯流而需進行調整，對於數</w:t>
      </w:r>
      <w:r w:rsidR="00C07A6E" w:rsidRPr="00CA5983">
        <w:rPr>
          <w:rFonts w:ascii="標楷體" w:eastAsia="標楷體" w:hAnsi="標楷體" w:cs="標楷體"/>
          <w:color w:val="auto"/>
          <w:sz w:val="28"/>
          <w:szCs w:val="28"/>
        </w:rPr>
        <w:t>位通訊傳播所帶動網際網路使用環境，更應在政策及規範上進行調適</w:t>
      </w:r>
      <w:r w:rsidR="00C07A6E" w:rsidRPr="00CA5983">
        <w:rPr>
          <w:rFonts w:ascii="標楷體" w:eastAsia="標楷體" w:hAnsi="標楷體" w:cs="標楷體" w:hint="eastAsia"/>
          <w:color w:val="auto"/>
          <w:sz w:val="28"/>
          <w:szCs w:val="28"/>
        </w:rPr>
        <w:t>及</w:t>
      </w:r>
      <w:r w:rsidR="00C07A6E" w:rsidRPr="00CA5983">
        <w:rPr>
          <w:rFonts w:ascii="標楷體" w:eastAsia="標楷體" w:hAnsi="標楷體" w:cs="標楷體"/>
          <w:color w:val="auto"/>
          <w:sz w:val="28"/>
          <w:szCs w:val="28"/>
        </w:rPr>
        <w:t>融合，以建構邁向數位國家重要基礎環境，並積極回應網路治理</w:t>
      </w:r>
      <w:r w:rsidR="00C07A6E"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需要。</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因應科技匯流，促進通訊傳播健全發展，維護國民權利，保障消費者利益，提升多元文化，平衡城鄉差</w:t>
      </w:r>
      <w:r w:rsidR="00C07A6E" w:rsidRPr="00CA5983">
        <w:rPr>
          <w:rFonts w:ascii="標楷體" w:eastAsia="標楷體" w:hAnsi="標楷體" w:cs="標楷體"/>
          <w:color w:val="auto"/>
          <w:sz w:val="28"/>
          <w:szCs w:val="28"/>
        </w:rPr>
        <w:t>距，為通訊傳播基本法第一條所揭示整體通訊傳播環境</w:t>
      </w:r>
      <w:proofErr w:type="gramStart"/>
      <w:r w:rsidR="00C07A6E" w:rsidRPr="00CA5983">
        <w:rPr>
          <w:rFonts w:ascii="標楷體" w:eastAsia="標楷體" w:hAnsi="標楷體" w:cs="標楷體"/>
          <w:color w:val="auto"/>
          <w:sz w:val="28"/>
          <w:szCs w:val="28"/>
        </w:rPr>
        <w:t>形塑與產業</w:t>
      </w:r>
      <w:proofErr w:type="gramEnd"/>
      <w:r w:rsidR="00C07A6E" w:rsidRPr="00CA5983">
        <w:rPr>
          <w:rFonts w:ascii="標楷體" w:eastAsia="標楷體" w:hAnsi="標楷體" w:cs="標楷體"/>
          <w:color w:val="auto"/>
          <w:sz w:val="28"/>
          <w:szCs w:val="28"/>
        </w:rPr>
        <w:t>改革</w:t>
      </w:r>
      <w:r w:rsidR="00C07A6E"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目標與方向。</w:t>
      </w:r>
      <w:r w:rsidR="00C07A6E" w:rsidRPr="00CA5983">
        <w:rPr>
          <w:rFonts w:ascii="標楷體" w:eastAsia="標楷體" w:hAnsi="標楷體" w:cs="標楷體" w:hint="eastAsia"/>
          <w:color w:val="auto"/>
          <w:sz w:val="28"/>
          <w:szCs w:val="28"/>
        </w:rPr>
        <w:t>電信管理法草案(以下簡稱</w:t>
      </w:r>
      <w:r w:rsidRPr="00CA5983">
        <w:rPr>
          <w:rFonts w:ascii="標楷體" w:eastAsia="標楷體" w:hAnsi="標楷體" w:cs="標楷體"/>
          <w:color w:val="auto"/>
          <w:sz w:val="28"/>
          <w:szCs w:val="28"/>
        </w:rPr>
        <w:t>本法</w:t>
      </w:r>
      <w:r w:rsidR="00C07A6E" w:rsidRPr="00CA5983">
        <w:rPr>
          <w:rFonts w:ascii="標楷體" w:eastAsia="標楷體" w:hAnsi="標楷體" w:cs="標楷體" w:hint="eastAsia"/>
          <w:color w:val="auto"/>
          <w:sz w:val="28"/>
          <w:szCs w:val="28"/>
        </w:rPr>
        <w:t>)</w:t>
      </w:r>
      <w:r w:rsidRPr="00CA5983">
        <w:rPr>
          <w:rFonts w:ascii="標楷體" w:eastAsia="標楷體" w:hAnsi="標楷體" w:cs="標楷體"/>
          <w:color w:val="auto"/>
          <w:sz w:val="28"/>
          <w:szCs w:val="28"/>
        </w:rPr>
        <w:t>之制定即依循上述之意旨，服膺數位匯流環境轉換變革需要，以落實數位國家、創新經濟政策之推動。</w:t>
      </w:r>
    </w:p>
    <w:p w:rsidR="00915556" w:rsidRPr="00CA5983" w:rsidRDefault="00C07A6E"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現行電信法架構定於四十七年，</w:t>
      </w:r>
      <w:r w:rsidR="00915556" w:rsidRPr="00CA5983">
        <w:rPr>
          <w:rFonts w:ascii="標楷體" w:eastAsia="標楷體" w:hAnsi="標楷體" w:cs="標楷體"/>
          <w:color w:val="auto"/>
          <w:sz w:val="28"/>
          <w:szCs w:val="28"/>
        </w:rPr>
        <w:t>歷經八十五年因應</w:t>
      </w:r>
      <w:r w:rsidRPr="00CA5983">
        <w:rPr>
          <w:rFonts w:ascii="標楷體" w:eastAsia="標楷體" w:hAnsi="標楷體" w:cs="標楷體" w:hint="eastAsia"/>
          <w:color w:val="auto"/>
          <w:sz w:val="28"/>
          <w:szCs w:val="28"/>
        </w:rPr>
        <w:t>世界貿易組織(World Trade Organization, 簡稱</w:t>
      </w:r>
      <w:r w:rsidR="00915556" w:rsidRPr="00CA5983">
        <w:rPr>
          <w:rFonts w:ascii="標楷體" w:eastAsia="標楷體" w:hAnsi="標楷體" w:cs="標楷體"/>
          <w:color w:val="auto"/>
          <w:sz w:val="28"/>
          <w:szCs w:val="28"/>
        </w:rPr>
        <w:t>WTO</w:t>
      </w:r>
      <w:r w:rsidRPr="00CA5983">
        <w:rPr>
          <w:rFonts w:ascii="標楷體" w:eastAsia="標楷體" w:hAnsi="標楷體" w:cs="標楷體" w:hint="eastAsia"/>
          <w:color w:val="auto"/>
          <w:sz w:val="28"/>
          <w:szCs w:val="28"/>
        </w:rPr>
        <w:t>)</w:t>
      </w:r>
      <w:r w:rsidR="00915556" w:rsidRPr="00CA5983">
        <w:rPr>
          <w:rFonts w:ascii="標楷體" w:eastAsia="標楷體" w:hAnsi="標楷體" w:cs="標楷體"/>
          <w:color w:val="auto"/>
          <w:sz w:val="28"/>
          <w:szCs w:val="28"/>
        </w:rPr>
        <w:t>入會而開啟電信自由化，將國營事業轉變為特許事業並開放民營，其後於八十七年因應WTO入會承諾再行大幅</w:t>
      </w:r>
      <w:r w:rsidRPr="00CA5983">
        <w:rPr>
          <w:rFonts w:ascii="標楷體" w:eastAsia="標楷體" w:hAnsi="標楷體" w:cs="標楷體"/>
          <w:color w:val="auto"/>
          <w:sz w:val="28"/>
          <w:szCs w:val="28"/>
        </w:rPr>
        <w:t>修正，惟</w:t>
      </w:r>
      <w:proofErr w:type="gramStart"/>
      <w:r w:rsidRPr="00CA5983">
        <w:rPr>
          <w:rFonts w:ascii="標楷體" w:eastAsia="標楷體" w:hAnsi="標楷體" w:cs="標楷體"/>
          <w:color w:val="auto"/>
          <w:sz w:val="28"/>
          <w:szCs w:val="28"/>
        </w:rPr>
        <w:t>囿</w:t>
      </w:r>
      <w:proofErr w:type="gramEnd"/>
      <w:r w:rsidRPr="00CA5983">
        <w:rPr>
          <w:rFonts w:ascii="標楷體" w:eastAsia="標楷體" w:hAnsi="標楷體" w:cs="標楷體"/>
          <w:color w:val="auto"/>
          <w:sz w:val="28"/>
          <w:szCs w:val="28"/>
        </w:rPr>
        <w:t>於技術限制、服務特性與管制慣性，仍維持垂直管理架構，</w:t>
      </w:r>
      <w:r w:rsidR="00915556" w:rsidRPr="00CA5983">
        <w:rPr>
          <w:rFonts w:ascii="標楷體" w:eastAsia="標楷體" w:hAnsi="標楷體" w:cs="標楷體"/>
          <w:color w:val="auto"/>
          <w:sz w:val="28"/>
          <w:szCs w:val="28"/>
        </w:rPr>
        <w:t>以機線設備之有無，建構以業務別</w:t>
      </w:r>
      <w:proofErr w:type="gramStart"/>
      <w:r w:rsidR="00915556" w:rsidRPr="00CA5983">
        <w:rPr>
          <w:rFonts w:ascii="標楷體" w:eastAsia="標楷體" w:hAnsi="標楷體" w:cs="標楷體"/>
          <w:color w:val="auto"/>
          <w:sz w:val="28"/>
          <w:szCs w:val="28"/>
        </w:rPr>
        <w:t>之</w:t>
      </w:r>
      <w:proofErr w:type="gramEnd"/>
      <w:r w:rsidR="00915556" w:rsidRPr="00CA5983">
        <w:rPr>
          <w:rFonts w:ascii="標楷體" w:eastAsia="標楷體" w:hAnsi="標楷體" w:cs="標楷體"/>
          <w:color w:val="auto"/>
          <w:sz w:val="28"/>
          <w:szCs w:val="28"/>
        </w:rPr>
        <w:t>分類管制模式，並對未經許可而建設或經營電信服務者課以刑罰或嚴厲之行政罰，獲特許或許可</w:t>
      </w:r>
      <w:r w:rsidRPr="00CA5983">
        <w:rPr>
          <w:rFonts w:ascii="標楷體" w:eastAsia="標楷體" w:hAnsi="標楷體" w:cs="標楷體"/>
          <w:color w:val="auto"/>
          <w:sz w:val="28"/>
          <w:szCs w:val="28"/>
        </w:rPr>
        <w:t>之電信事業固然得以在法令限制所建立封閉市場環境下，因參進者數量</w:t>
      </w:r>
      <w:r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限制而得確保其營運，惟隨著無國界</w:t>
      </w:r>
      <w:r w:rsidR="00F11BE1" w:rsidRPr="00CA5983">
        <w:rPr>
          <w:rFonts w:ascii="標楷體" w:eastAsia="標楷體" w:hAnsi="標楷體" w:cs="標楷體"/>
          <w:color w:val="auto"/>
          <w:sz w:val="28"/>
          <w:szCs w:val="28"/>
        </w:rPr>
        <w:t>網際網路應用服務快速發展，以及快速網路技術變革，逐漸改變資訊通信產業結構與市場，原有管制架構實務上不僅無法因應科技及服務</w:t>
      </w:r>
      <w:r w:rsidR="00F11BE1" w:rsidRPr="00CA5983">
        <w:rPr>
          <w:rFonts w:ascii="標楷體" w:eastAsia="標楷體" w:hAnsi="標楷體" w:cs="標楷體" w:hint="eastAsia"/>
          <w:color w:val="auto"/>
          <w:sz w:val="28"/>
          <w:szCs w:val="28"/>
        </w:rPr>
        <w:t>之</w:t>
      </w:r>
      <w:r w:rsidR="00F11BE1" w:rsidRPr="00CA5983">
        <w:rPr>
          <w:rFonts w:ascii="標楷體" w:eastAsia="標楷體" w:hAnsi="標楷體" w:cs="標楷體"/>
          <w:color w:val="auto"/>
          <w:sz w:val="28"/>
          <w:szCs w:val="28"/>
        </w:rPr>
        <w:t>快速變化、限制電信產業發展，甚而阻礙數位匯流與創新</w:t>
      </w:r>
      <w:r w:rsidR="00F11BE1" w:rsidRPr="00CA5983">
        <w:rPr>
          <w:rFonts w:ascii="標楷體" w:eastAsia="標楷體" w:hAnsi="標楷體" w:cs="標楷體" w:hint="eastAsia"/>
          <w:color w:val="auto"/>
          <w:sz w:val="28"/>
          <w:szCs w:val="28"/>
        </w:rPr>
        <w:t>之</w:t>
      </w:r>
      <w:r w:rsidR="00915556" w:rsidRPr="00CA5983">
        <w:rPr>
          <w:rFonts w:ascii="標楷體" w:eastAsia="標楷體" w:hAnsi="標楷體" w:cs="標楷體"/>
          <w:color w:val="auto"/>
          <w:sz w:val="28"/>
          <w:szCs w:val="28"/>
        </w:rPr>
        <w:t>可能性。基此，特參考歐盟</w:t>
      </w:r>
      <w:r w:rsidR="00F11BE1" w:rsidRPr="00CA5983">
        <w:rPr>
          <w:rFonts w:ascii="標楷體" w:eastAsia="標楷體" w:hAnsi="標楷體" w:cs="標楷體" w:hint="eastAsia"/>
          <w:color w:val="auto"/>
          <w:sz w:val="28"/>
          <w:szCs w:val="28"/>
        </w:rPr>
        <w:t>二</w:t>
      </w:r>
      <w:proofErr w:type="gramStart"/>
      <w:r w:rsidR="006F3F68" w:rsidRPr="00CA5983">
        <w:rPr>
          <w:rFonts w:ascii="標楷體" w:eastAsia="標楷體" w:hAnsi="標楷體" w:hint="eastAsia"/>
          <w:color w:val="auto"/>
          <w:sz w:val="28"/>
          <w:szCs w:val="28"/>
        </w:rPr>
        <w:t>ＯＯ</w:t>
      </w:r>
      <w:proofErr w:type="gramEnd"/>
      <w:r w:rsidR="00F11BE1" w:rsidRPr="00CA5983">
        <w:rPr>
          <w:rFonts w:ascii="標楷體" w:eastAsia="標楷體" w:hAnsi="標楷體" w:cs="標楷體" w:hint="eastAsia"/>
          <w:color w:val="auto"/>
          <w:sz w:val="28"/>
          <w:szCs w:val="28"/>
        </w:rPr>
        <w:t>二</w:t>
      </w:r>
      <w:r w:rsidR="00915556" w:rsidRPr="00CA5983">
        <w:rPr>
          <w:rFonts w:ascii="標楷體" w:eastAsia="標楷體" w:hAnsi="標楷體" w:cs="標楷體"/>
          <w:color w:val="auto"/>
          <w:sz w:val="28"/>
          <w:szCs w:val="28"/>
        </w:rPr>
        <w:t>年暨</w:t>
      </w:r>
      <w:r w:rsidR="00F11BE1" w:rsidRPr="00CA5983">
        <w:rPr>
          <w:rFonts w:ascii="標楷體" w:eastAsia="標楷體" w:hAnsi="標楷體" w:cs="標楷體" w:hint="eastAsia"/>
          <w:color w:val="auto"/>
          <w:sz w:val="28"/>
          <w:szCs w:val="28"/>
        </w:rPr>
        <w:t>二</w:t>
      </w:r>
      <w:proofErr w:type="gramStart"/>
      <w:r w:rsidR="006F3F68" w:rsidRPr="00CA5983">
        <w:rPr>
          <w:rFonts w:ascii="標楷體" w:eastAsia="標楷體" w:hAnsi="標楷體" w:hint="eastAsia"/>
          <w:color w:val="auto"/>
          <w:sz w:val="28"/>
          <w:szCs w:val="28"/>
        </w:rPr>
        <w:t>ＯＯ</w:t>
      </w:r>
      <w:proofErr w:type="gramEnd"/>
      <w:r w:rsidR="00F11BE1" w:rsidRPr="00CA5983">
        <w:rPr>
          <w:rFonts w:ascii="標楷體" w:eastAsia="標楷體" w:hAnsi="標楷體" w:cs="標楷體" w:hint="eastAsia"/>
          <w:color w:val="auto"/>
          <w:sz w:val="28"/>
          <w:szCs w:val="28"/>
        </w:rPr>
        <w:t>九</w:t>
      </w:r>
      <w:r w:rsidR="00915556" w:rsidRPr="00CA5983">
        <w:rPr>
          <w:rFonts w:ascii="標楷體" w:eastAsia="標楷體" w:hAnsi="標楷體" w:cs="標楷體"/>
          <w:color w:val="auto"/>
          <w:sz w:val="28"/>
          <w:szCs w:val="28"/>
        </w:rPr>
        <w:t>年修正之架構指令(</w:t>
      </w:r>
      <w:r w:rsidR="00915556" w:rsidRPr="00CA5983">
        <w:rPr>
          <w:rFonts w:ascii="標楷體" w:eastAsia="標楷體" w:hAnsi="標楷體"/>
          <w:color w:val="auto"/>
          <w:sz w:val="28"/>
          <w:szCs w:val="28"/>
        </w:rPr>
        <w:t>Framework Directive</w:t>
      </w:r>
      <w:r w:rsidR="00915556" w:rsidRPr="00CA5983">
        <w:rPr>
          <w:rFonts w:ascii="標楷體" w:eastAsia="標楷體" w:hAnsi="標楷體" w:cs="標楷體"/>
          <w:color w:val="auto"/>
          <w:sz w:val="28"/>
          <w:szCs w:val="28"/>
        </w:rPr>
        <w:t>)，依據基礎網路層、營運層及內容應用服</w:t>
      </w:r>
      <w:r w:rsidR="00915556" w:rsidRPr="00CA5983">
        <w:rPr>
          <w:rFonts w:ascii="標楷體" w:eastAsia="標楷體" w:hAnsi="標楷體" w:cs="標楷體"/>
          <w:color w:val="auto"/>
          <w:sz w:val="28"/>
          <w:szCs w:val="28"/>
        </w:rPr>
        <w:lastRenderedPageBreak/>
        <w:t>務層等層級管理思維，解構電信法以特許、許可所建構業務別</w:t>
      </w:r>
      <w:proofErr w:type="gramStart"/>
      <w:r w:rsidR="00915556" w:rsidRPr="00CA5983">
        <w:rPr>
          <w:rFonts w:ascii="標楷體" w:eastAsia="標楷體" w:hAnsi="標楷體" w:cs="標楷體"/>
          <w:color w:val="auto"/>
          <w:sz w:val="28"/>
          <w:szCs w:val="28"/>
        </w:rPr>
        <w:t>之</w:t>
      </w:r>
      <w:proofErr w:type="gramEnd"/>
      <w:r w:rsidR="00915556" w:rsidRPr="00CA5983">
        <w:rPr>
          <w:rFonts w:ascii="標楷體" w:eastAsia="標楷體" w:hAnsi="標楷體" w:cs="標楷體"/>
          <w:color w:val="auto"/>
          <w:sz w:val="28"/>
          <w:szCs w:val="28"/>
        </w:rPr>
        <w:t>管制架構，改</w:t>
      </w:r>
      <w:proofErr w:type="gramStart"/>
      <w:r w:rsidR="00915556" w:rsidRPr="00CA5983">
        <w:rPr>
          <w:rFonts w:ascii="標楷體" w:eastAsia="標楷體" w:hAnsi="標楷體" w:cs="標楷體"/>
          <w:color w:val="auto"/>
          <w:sz w:val="28"/>
          <w:szCs w:val="28"/>
        </w:rPr>
        <w:t>採</w:t>
      </w:r>
      <w:proofErr w:type="gramEnd"/>
      <w:r w:rsidR="00915556" w:rsidRPr="00CA5983">
        <w:rPr>
          <w:rFonts w:ascii="標楷體" w:eastAsia="標楷體" w:hAnsi="標楷體" w:cs="標楷體"/>
          <w:color w:val="auto"/>
          <w:sz w:val="28"/>
          <w:szCs w:val="28"/>
        </w:rPr>
        <w:t>「行為管理」之模式，並據以制定相關規範，以營造自由創新與公平競爭</w:t>
      </w:r>
      <w:r w:rsidR="001D0469" w:rsidRPr="00CA5983">
        <w:rPr>
          <w:rFonts w:ascii="標楷體" w:eastAsia="標楷體" w:hAnsi="標楷體" w:cs="標楷體" w:hint="eastAsia"/>
          <w:color w:val="auto"/>
          <w:sz w:val="28"/>
          <w:szCs w:val="28"/>
        </w:rPr>
        <w:t>之</w:t>
      </w:r>
      <w:r w:rsidR="00915556" w:rsidRPr="00CA5983">
        <w:rPr>
          <w:rFonts w:ascii="標楷體" w:eastAsia="標楷體" w:hAnsi="標楷體" w:cs="標楷體"/>
          <w:color w:val="auto"/>
          <w:sz w:val="28"/>
          <w:szCs w:val="28"/>
        </w:rPr>
        <w:t>產業環境。</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維護公平競爭是維持市場發展及鼓勵創新</w:t>
      </w:r>
      <w:r w:rsidR="000D7548"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重要原則，現行電信法透過特許或許可制度，以及包括律定營運規章、費率審核與經由各式各樣管理規則所加諸不特定義務，限制電信事業參進、發展及彈性，在促進競爭原則下，本法對於電信事業之管理，</w:t>
      </w:r>
      <w:proofErr w:type="gramStart"/>
      <w:r w:rsidRPr="00CA5983">
        <w:rPr>
          <w:rFonts w:ascii="標楷體" w:eastAsia="標楷體" w:hAnsi="標楷體" w:cs="標楷體"/>
          <w:color w:val="auto"/>
          <w:sz w:val="28"/>
          <w:szCs w:val="28"/>
        </w:rPr>
        <w:t>採</w:t>
      </w:r>
      <w:proofErr w:type="gramEnd"/>
      <w:r w:rsidRPr="00CA5983">
        <w:rPr>
          <w:rFonts w:ascii="標楷體" w:eastAsia="標楷體" w:hAnsi="標楷體" w:cs="標楷體"/>
          <w:color w:val="auto"/>
          <w:sz w:val="28"/>
          <w:szCs w:val="28"/>
        </w:rPr>
        <w:t>以下革新之管理思維：</w:t>
      </w:r>
    </w:p>
    <w:p w:rsidR="00915556" w:rsidRPr="0043499B" w:rsidRDefault="00915556" w:rsidP="0043499B">
      <w:pPr>
        <w:pStyle w:val="ac"/>
        <w:numPr>
          <w:ilvl w:val="0"/>
          <w:numId w:val="113"/>
        </w:numPr>
        <w:spacing w:before="48" w:line="460" w:lineRule="exact"/>
        <w:ind w:leftChars="0" w:left="567" w:hanging="567"/>
        <w:jc w:val="both"/>
        <w:rPr>
          <w:rFonts w:ascii="標楷體" w:eastAsia="標楷體" w:hAnsi="標楷體" w:cs="標楷體"/>
          <w:color w:val="auto"/>
          <w:sz w:val="28"/>
          <w:szCs w:val="28"/>
        </w:rPr>
      </w:pPr>
      <w:r w:rsidRPr="0043499B">
        <w:rPr>
          <w:rFonts w:ascii="標楷體" w:eastAsia="標楷體" w:hAnsi="標楷體" w:cs="標楷體"/>
          <w:color w:val="auto"/>
          <w:sz w:val="28"/>
          <w:szCs w:val="28"/>
        </w:rPr>
        <w:t>降低市場參進門檻：將特許、許可制修正為登記制，明列應辦理登記之事項，未有登記者，僅係無法取得本法賦予相關之權利，以鼓勵事業參進，並給予經營彈性。</w:t>
      </w:r>
    </w:p>
    <w:p w:rsidR="00915556" w:rsidRPr="00CA5983" w:rsidRDefault="00915556" w:rsidP="0043499B">
      <w:pPr>
        <w:pStyle w:val="ac"/>
        <w:numPr>
          <w:ilvl w:val="0"/>
          <w:numId w:val="113"/>
        </w:numPr>
        <w:spacing w:before="48" w:line="460" w:lineRule="exact"/>
        <w:ind w:leftChars="0" w:left="567" w:hanging="567"/>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明確規範經營義務：本法雖賦予事業市場進入與經營之最大彈性，惟為維護消費者權益及確保公共利益必要範圍內，依通訊傳播基本法第九條、第十一條及第十四條所揭示之原則，參考英國</w:t>
      </w:r>
      <w:r w:rsidR="001D0469" w:rsidRPr="00CA5983">
        <w:rPr>
          <w:rFonts w:ascii="標楷體" w:eastAsia="標楷體" w:hAnsi="標楷體" w:cs="標楷體" w:hint="eastAsia"/>
          <w:color w:val="auto"/>
          <w:sz w:val="28"/>
          <w:szCs w:val="28"/>
        </w:rPr>
        <w:t>二</w:t>
      </w:r>
      <w:proofErr w:type="gramStart"/>
      <w:r w:rsidR="001D0469" w:rsidRPr="0043499B">
        <w:rPr>
          <w:rFonts w:ascii="標楷體" w:eastAsia="標楷體" w:hAnsi="標楷體" w:cs="標楷體" w:hint="eastAsia"/>
          <w:color w:val="auto"/>
          <w:sz w:val="28"/>
          <w:szCs w:val="28"/>
        </w:rPr>
        <w:t>ＯＯ</w:t>
      </w:r>
      <w:proofErr w:type="gramEnd"/>
      <w:r w:rsidR="001B64DB" w:rsidRPr="0043499B">
        <w:rPr>
          <w:rFonts w:ascii="標楷體" w:eastAsia="標楷體" w:hAnsi="標楷體" w:cs="標楷體" w:hint="eastAsia"/>
          <w:color w:val="auto"/>
          <w:sz w:val="28"/>
          <w:szCs w:val="28"/>
        </w:rPr>
        <w:t>三</w:t>
      </w:r>
      <w:r w:rsidR="001B64DB" w:rsidRPr="00CA5983">
        <w:rPr>
          <w:rFonts w:ascii="標楷體" w:eastAsia="標楷體" w:hAnsi="標楷體" w:cs="標楷體"/>
          <w:color w:val="auto"/>
          <w:sz w:val="28"/>
          <w:szCs w:val="28"/>
        </w:rPr>
        <w:t>年通訊傳播法</w:t>
      </w:r>
      <w:r w:rsidRPr="00CA5983">
        <w:rPr>
          <w:rFonts w:ascii="標楷體" w:eastAsia="標楷體" w:hAnsi="標楷體" w:cs="標楷體"/>
          <w:color w:val="auto"/>
          <w:sz w:val="28"/>
          <w:szCs w:val="28"/>
        </w:rPr>
        <w:t>管理模式，按我國通訊傳播服務發展之特性，將業者遵守之義務，以其經營行為或樣態，大致分為一般義務、特別義務或指定義務三類。</w:t>
      </w:r>
    </w:p>
    <w:p w:rsidR="00915556" w:rsidRPr="00CA5983" w:rsidRDefault="00915556" w:rsidP="0043499B">
      <w:pPr>
        <w:pStyle w:val="ac"/>
        <w:numPr>
          <w:ilvl w:val="0"/>
          <w:numId w:val="113"/>
        </w:numPr>
        <w:spacing w:before="48" w:line="460" w:lineRule="exact"/>
        <w:ind w:leftChars="0" w:left="567" w:hanging="567"/>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為因應市場快速轉變，維護公平競爭，將管制對象由業務市場主導者改以衡量具有</w:t>
      </w:r>
      <w:r w:rsidR="001B64DB" w:rsidRPr="00CA5983">
        <w:rPr>
          <w:rFonts w:ascii="標楷體" w:eastAsia="標楷體" w:hAnsi="標楷體" w:cs="標楷體"/>
          <w:color w:val="auto"/>
          <w:sz w:val="28"/>
          <w:szCs w:val="28"/>
        </w:rPr>
        <w:t>市場顯著之力量之經營者，對其採取不同程度管制的矯正措施，以有效</w:t>
      </w:r>
      <w:r w:rsidRPr="00CA5983">
        <w:rPr>
          <w:rFonts w:ascii="標楷體" w:eastAsia="標楷體" w:hAnsi="標楷體" w:cs="標楷體"/>
          <w:color w:val="auto"/>
          <w:sz w:val="28"/>
          <w:szCs w:val="28"/>
        </w:rPr>
        <w:t>促進產業公平競爭。</w:t>
      </w:r>
    </w:p>
    <w:p w:rsidR="00915556" w:rsidRPr="00CA5983" w:rsidRDefault="001B64DB" w:rsidP="00116417">
      <w:pPr>
        <w:spacing w:before="48" w:line="460" w:lineRule="exact"/>
        <w:ind w:left="0" w:firstLine="566"/>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同時，資訊科技</w:t>
      </w:r>
      <w:r w:rsidR="00915556" w:rsidRPr="00CA5983">
        <w:rPr>
          <w:rFonts w:ascii="標楷體" w:eastAsia="標楷體" w:hAnsi="標楷體" w:cs="標楷體"/>
          <w:color w:val="auto"/>
          <w:sz w:val="28"/>
          <w:szCs w:val="28"/>
        </w:rPr>
        <w:t>發展與使用，因性</w:t>
      </w:r>
      <w:r w:rsidRPr="00CA5983">
        <w:rPr>
          <w:rFonts w:ascii="標楷體" w:eastAsia="標楷體" w:hAnsi="標楷體" w:cs="標楷體"/>
          <w:color w:val="auto"/>
          <w:sz w:val="28"/>
          <w:szCs w:val="28"/>
        </w:rPr>
        <w:t>別、種族、階級或居住地理區域等不同背景而產生接近、使用資訊機會</w:t>
      </w:r>
      <w:r w:rsidRPr="00CA5983">
        <w:rPr>
          <w:rFonts w:ascii="標楷體" w:eastAsia="標楷體" w:hAnsi="標楷體" w:cs="標楷體" w:hint="eastAsia"/>
          <w:color w:val="auto"/>
          <w:sz w:val="28"/>
          <w:szCs w:val="28"/>
        </w:rPr>
        <w:t>之</w:t>
      </w:r>
      <w:r w:rsidR="00915556" w:rsidRPr="00CA5983">
        <w:rPr>
          <w:rFonts w:ascii="標楷體" w:eastAsia="標楷體" w:hAnsi="標楷體" w:cs="標楷體"/>
          <w:color w:val="auto"/>
          <w:sz w:val="28"/>
          <w:szCs w:val="28"/>
        </w:rPr>
        <w:t>差異，形成「數位落差」（digital divide）。因此，公平</w:t>
      </w:r>
      <w:r w:rsidRPr="00CA5983">
        <w:rPr>
          <w:rFonts w:ascii="標楷體" w:eastAsia="標楷體" w:hAnsi="標楷體" w:cs="標楷體"/>
          <w:color w:val="auto"/>
          <w:sz w:val="28"/>
          <w:szCs w:val="28"/>
        </w:rPr>
        <w:t>資訊近用機會更應受到關注，本法特就下列面向，透過市場</w:t>
      </w:r>
      <w:r w:rsidR="00915556" w:rsidRPr="00CA5983">
        <w:rPr>
          <w:rFonts w:ascii="標楷體" w:eastAsia="標楷體" w:hAnsi="標楷體" w:cs="標楷體"/>
          <w:color w:val="auto"/>
          <w:sz w:val="28"/>
          <w:szCs w:val="28"/>
        </w:rPr>
        <w:t>開放，引進競爭與鼓勵新技術，積極解決數位落差，並就其不足部分，</w:t>
      </w:r>
      <w:proofErr w:type="gramStart"/>
      <w:r w:rsidR="00915556" w:rsidRPr="00CA5983">
        <w:rPr>
          <w:rFonts w:ascii="標楷體" w:eastAsia="標楷體" w:hAnsi="標楷體" w:cs="標楷體"/>
          <w:color w:val="auto"/>
          <w:sz w:val="28"/>
          <w:szCs w:val="28"/>
        </w:rPr>
        <w:t>賡</w:t>
      </w:r>
      <w:proofErr w:type="gramEnd"/>
      <w:r w:rsidR="00915556" w:rsidRPr="00CA5983">
        <w:rPr>
          <w:rFonts w:ascii="標楷體" w:eastAsia="標楷體" w:hAnsi="標楷體" w:cs="標楷體"/>
          <w:color w:val="auto"/>
          <w:sz w:val="28"/>
          <w:szCs w:val="28"/>
        </w:rPr>
        <w:t>續推展普及服務：一、縮短地理區位城鄉差距；二、確保少數與弱勢族群接近使用機會；三、促進先進通信基礎設施設置。</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維護消費者權益，係通訊傳播基本法及國家通訊傳播委員會組織法所規範重心，亦為因應科技匯流與推展我國資通訊產業發展中必須確保的核心任務之一，本法雖一方面解除市場進入之管制，但也透過本法及「數位通訊傳播法」</w:t>
      </w:r>
      <w:r w:rsidR="001B64DB" w:rsidRPr="00CA5983">
        <w:rPr>
          <w:rFonts w:ascii="標楷體" w:eastAsia="標楷體" w:hAnsi="標楷體" w:cs="標楷體" w:hint="eastAsia"/>
          <w:color w:val="auto"/>
          <w:sz w:val="28"/>
          <w:szCs w:val="28"/>
        </w:rPr>
        <w:t>草案</w:t>
      </w:r>
      <w:r w:rsidRPr="00CA5983">
        <w:rPr>
          <w:rFonts w:ascii="標楷體" w:eastAsia="標楷體" w:hAnsi="標楷體" w:cs="標楷體"/>
          <w:color w:val="auto"/>
          <w:sz w:val="28"/>
          <w:szCs w:val="28"/>
        </w:rPr>
        <w:t>所規範通訊傳播產業資訊揭露一般義務，要求產</w:t>
      </w:r>
      <w:r w:rsidRPr="00CA5983">
        <w:rPr>
          <w:rFonts w:ascii="標楷體" w:eastAsia="標楷體" w:hAnsi="標楷體" w:cs="標楷體"/>
          <w:color w:val="auto"/>
          <w:sz w:val="28"/>
          <w:szCs w:val="28"/>
        </w:rPr>
        <w:lastRenderedPageBreak/>
        <w:t>業自律先行，並就合於特定條件之電信事業在主管機關監督下建立消費爭議處理機制，以快速有效解決消費爭議。</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從先進國家發展經驗來看，產業間匯流已轉向藉由新興數位服務需求，帶動基盤建設彈性與活用。可預期單一接取網路將無法滿足未來通訊傳播服務所需傳輸能量，電信基礎建設與公眾電信網路</w:t>
      </w:r>
      <w:r w:rsidR="001B64DB"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需求將益發迫切，特別是在網路架構趨於軟體化、虛擬化、</w:t>
      </w:r>
      <w:proofErr w:type="gramStart"/>
      <w:r w:rsidRPr="00CA5983">
        <w:rPr>
          <w:rFonts w:ascii="標楷體" w:eastAsia="標楷體" w:hAnsi="標楷體" w:cs="標楷體"/>
          <w:color w:val="auto"/>
          <w:sz w:val="28"/>
          <w:szCs w:val="28"/>
        </w:rPr>
        <w:t>編程化彈性</w:t>
      </w:r>
      <w:proofErr w:type="gramEnd"/>
      <w:r w:rsidRPr="00CA5983">
        <w:rPr>
          <w:rFonts w:ascii="標楷體" w:eastAsia="標楷體" w:hAnsi="標楷體" w:cs="標楷體"/>
          <w:color w:val="auto"/>
          <w:sz w:val="28"/>
          <w:szCs w:val="28"/>
        </w:rPr>
        <w:t>結構下，越來越多不同行業得以透過設置自己之網路以確保最佳客製化</w:t>
      </w:r>
      <w:r w:rsidR="001B64DB" w:rsidRPr="00CA5983">
        <w:rPr>
          <w:rFonts w:ascii="標楷體" w:eastAsia="標楷體" w:hAnsi="標楷體" w:cs="標楷體"/>
          <w:color w:val="auto"/>
          <w:sz w:val="28"/>
          <w:szCs w:val="28"/>
        </w:rPr>
        <w:t>服務。同時，建構安全、可信賴公眾電信網路，將是確保數位經濟發展</w:t>
      </w:r>
      <w:r w:rsidR="001B64DB"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重要基礎，因此，本法解除過往電信網路建設之限制，使企業均得以設置符合自身業務需</w:t>
      </w:r>
      <w:r w:rsidR="00476FB9" w:rsidRPr="00CA5983">
        <w:rPr>
          <w:rFonts w:ascii="標楷體" w:eastAsia="標楷體" w:hAnsi="標楷體" w:cs="標楷體"/>
          <w:color w:val="auto"/>
          <w:sz w:val="28"/>
          <w:szCs w:val="28"/>
        </w:rPr>
        <w:t>求之電信網路，並自由研發新技術與設備，藉以充分掌握數位經濟發展</w:t>
      </w:r>
      <w:r w:rsidRPr="00CA5983">
        <w:rPr>
          <w:rFonts w:ascii="標楷體" w:eastAsia="標楷體" w:hAnsi="標楷體" w:cs="標楷體"/>
          <w:color w:val="auto"/>
          <w:sz w:val="28"/>
          <w:szCs w:val="28"/>
        </w:rPr>
        <w:t>機會；同時為確保網路</w:t>
      </w:r>
      <w:r w:rsidR="001B64DB" w:rsidRPr="00CA5983">
        <w:rPr>
          <w:rFonts w:ascii="標楷體" w:eastAsia="標楷體" w:hAnsi="標楷體" w:cs="標楷體"/>
          <w:color w:val="auto"/>
          <w:sz w:val="28"/>
          <w:szCs w:val="28"/>
        </w:rPr>
        <w:t>及資訊安全之目標，除了傳統利用電信資源包括頻率及電信號碼所設置</w:t>
      </w:r>
      <w:r w:rsidR="001B64DB"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公眾電信網路外，基於網際網路網</w:t>
      </w:r>
      <w:proofErr w:type="gramStart"/>
      <w:r w:rsidRPr="00CA5983">
        <w:rPr>
          <w:rFonts w:ascii="標楷體" w:eastAsia="標楷體" w:hAnsi="標楷體" w:cs="標楷體"/>
          <w:color w:val="auto"/>
          <w:sz w:val="28"/>
          <w:szCs w:val="28"/>
        </w:rPr>
        <w:t>網</w:t>
      </w:r>
      <w:proofErr w:type="gramEnd"/>
      <w:r w:rsidRPr="00CA5983">
        <w:rPr>
          <w:rFonts w:ascii="標楷體" w:eastAsia="標楷體" w:hAnsi="標楷體" w:cs="標楷體"/>
          <w:color w:val="auto"/>
          <w:sz w:val="28"/>
          <w:szCs w:val="28"/>
        </w:rPr>
        <w:t>相連之特性，將諸如政府機關提供民眾使用之免費無線上網服務等實質提供電信服務之電信網路，均視為公眾電信網路，</w:t>
      </w:r>
      <w:proofErr w:type="gramStart"/>
      <w:r w:rsidRPr="00CA5983">
        <w:rPr>
          <w:rFonts w:ascii="標楷體" w:eastAsia="標楷體" w:hAnsi="標楷體" w:cs="標楷體"/>
          <w:color w:val="auto"/>
          <w:sz w:val="28"/>
          <w:szCs w:val="28"/>
        </w:rPr>
        <w:t>藉由課予一致性資安標準</w:t>
      </w:r>
      <w:proofErr w:type="gramEnd"/>
      <w:r w:rsidRPr="00CA5983">
        <w:rPr>
          <w:rFonts w:ascii="標楷體" w:eastAsia="標楷體" w:hAnsi="標楷體" w:cs="標楷體"/>
          <w:color w:val="auto"/>
          <w:sz w:val="28"/>
          <w:szCs w:val="28"/>
        </w:rPr>
        <w:t>，以確保整體網路使用之安全。</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另本法對公眾電信網路之設置及電信服務之</w:t>
      </w:r>
      <w:proofErr w:type="gramStart"/>
      <w:r w:rsidRPr="00CA5983">
        <w:rPr>
          <w:rFonts w:ascii="標楷體" w:eastAsia="標楷體" w:hAnsi="標楷體" w:cs="標楷體"/>
          <w:color w:val="auto"/>
          <w:sz w:val="28"/>
          <w:szCs w:val="28"/>
        </w:rPr>
        <w:t>提供均訂有</w:t>
      </w:r>
      <w:proofErr w:type="gramEnd"/>
      <w:r w:rsidRPr="00CA5983">
        <w:rPr>
          <w:rFonts w:ascii="標楷體" w:eastAsia="標楷體" w:hAnsi="標楷體" w:cs="標楷體"/>
          <w:color w:val="auto"/>
          <w:sz w:val="28"/>
          <w:szCs w:val="28"/>
        </w:rPr>
        <w:t>防護義務，包含採用符合國家安全考量及資通安全標準之電信設備、指定建置執行通訊監察之設備、</w:t>
      </w:r>
      <w:proofErr w:type="gramStart"/>
      <w:r w:rsidRPr="00CA5983">
        <w:rPr>
          <w:rFonts w:ascii="標楷體" w:eastAsia="標楷體" w:hAnsi="標楷體" w:cs="標楷體"/>
          <w:color w:val="auto"/>
          <w:sz w:val="28"/>
          <w:szCs w:val="28"/>
        </w:rPr>
        <w:t>訂定資通</w:t>
      </w:r>
      <w:proofErr w:type="gramEnd"/>
      <w:r w:rsidRPr="00CA5983">
        <w:rPr>
          <w:rFonts w:ascii="標楷體" w:eastAsia="標楷體" w:hAnsi="標楷體" w:cs="標楷體"/>
          <w:color w:val="auto"/>
          <w:sz w:val="28"/>
          <w:szCs w:val="28"/>
        </w:rPr>
        <w:t>安全維護計畫，及界定關鍵電信基礎設施範圍等，以確保國家安全、資通安全，並協力治安之維護。</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bookmarkStart w:id="1" w:name="_gjdgxs" w:colFirst="0" w:colLast="0"/>
      <w:bookmarkEnd w:id="1"/>
      <w:proofErr w:type="gramStart"/>
      <w:r w:rsidRPr="00CA5983">
        <w:rPr>
          <w:rFonts w:ascii="標楷體" w:eastAsia="標楷體" w:hAnsi="標楷體" w:cs="標楷體"/>
          <w:color w:val="auto"/>
          <w:sz w:val="28"/>
          <w:szCs w:val="28"/>
        </w:rPr>
        <w:t>鑑</w:t>
      </w:r>
      <w:proofErr w:type="gramEnd"/>
      <w:r w:rsidRPr="00CA5983">
        <w:rPr>
          <w:rFonts w:ascii="標楷體" w:eastAsia="標楷體" w:hAnsi="標楷體" w:cs="標楷體"/>
          <w:color w:val="auto"/>
          <w:sz w:val="28"/>
          <w:szCs w:val="28"/>
        </w:rPr>
        <w:t>於無線電頻率為無線通訊必要媒介，亦為全體國民共享資源，隨著新興無線技術與服務將在生活中扮演不可或缺角色，對無線電頻率需求與日俱增，依據國際電信聯合會（International Telecommunications Union，ITU）於</w:t>
      </w:r>
      <w:r w:rsidR="001B64DB" w:rsidRPr="00CA5983">
        <w:rPr>
          <w:rFonts w:ascii="標楷體" w:eastAsia="標楷體" w:hAnsi="標楷體" w:cs="標楷體" w:hint="eastAsia"/>
          <w:color w:val="auto"/>
          <w:sz w:val="28"/>
          <w:szCs w:val="28"/>
        </w:rPr>
        <w:t>二</w:t>
      </w:r>
      <w:proofErr w:type="gramStart"/>
      <w:r w:rsidR="001B64DB" w:rsidRPr="00CA5983">
        <w:rPr>
          <w:rFonts w:ascii="標楷體" w:eastAsia="標楷體" w:hAnsi="標楷體" w:hint="eastAsia"/>
          <w:color w:val="auto"/>
          <w:sz w:val="28"/>
          <w:szCs w:val="28"/>
        </w:rPr>
        <w:t>Ｏ</w:t>
      </w:r>
      <w:proofErr w:type="gramEnd"/>
      <w:r w:rsidR="001B64DB" w:rsidRPr="00CA5983">
        <w:rPr>
          <w:rFonts w:ascii="標楷體" w:eastAsia="標楷體" w:hAnsi="標楷體" w:cs="標楷體" w:hint="eastAsia"/>
          <w:color w:val="auto"/>
          <w:sz w:val="28"/>
          <w:szCs w:val="28"/>
        </w:rPr>
        <w:t>一三</w:t>
      </w:r>
      <w:r w:rsidRPr="00CA5983">
        <w:rPr>
          <w:rFonts w:ascii="標楷體" w:eastAsia="標楷體" w:hAnsi="標楷體" w:cs="標楷體"/>
          <w:color w:val="auto"/>
          <w:sz w:val="28"/>
          <w:szCs w:val="28"/>
        </w:rPr>
        <w:t>年公布之報告顯示，預估至</w:t>
      </w:r>
      <w:r w:rsidR="001B64DB" w:rsidRPr="00CA5983">
        <w:rPr>
          <w:rFonts w:ascii="標楷體" w:eastAsia="標楷體" w:hAnsi="標楷體" w:cs="標楷體" w:hint="eastAsia"/>
          <w:color w:val="auto"/>
          <w:sz w:val="28"/>
          <w:szCs w:val="28"/>
        </w:rPr>
        <w:t>二</w:t>
      </w:r>
      <w:proofErr w:type="gramStart"/>
      <w:r w:rsidR="001B64DB" w:rsidRPr="00CA5983">
        <w:rPr>
          <w:rFonts w:ascii="標楷體" w:eastAsia="標楷體" w:hAnsi="標楷體" w:hint="eastAsia"/>
          <w:color w:val="auto"/>
          <w:sz w:val="28"/>
          <w:szCs w:val="28"/>
        </w:rPr>
        <w:t>Ｏ</w:t>
      </w:r>
      <w:proofErr w:type="gramEnd"/>
      <w:r w:rsidR="001B64DB" w:rsidRPr="00CA5983">
        <w:rPr>
          <w:rFonts w:ascii="標楷體" w:eastAsia="標楷體" w:hAnsi="標楷體" w:hint="eastAsia"/>
          <w:color w:val="auto"/>
          <w:sz w:val="28"/>
          <w:szCs w:val="28"/>
        </w:rPr>
        <w:t>二</w:t>
      </w:r>
      <w:proofErr w:type="gramStart"/>
      <w:r w:rsidR="001B64DB" w:rsidRPr="00CA5983">
        <w:rPr>
          <w:rFonts w:ascii="標楷體" w:eastAsia="標楷體" w:hAnsi="標楷體" w:hint="eastAsia"/>
          <w:color w:val="auto"/>
          <w:sz w:val="28"/>
          <w:szCs w:val="28"/>
        </w:rPr>
        <w:t>Ｏ</w:t>
      </w:r>
      <w:proofErr w:type="gramEnd"/>
      <w:r w:rsidRPr="00CA5983">
        <w:rPr>
          <w:rFonts w:ascii="標楷體" w:eastAsia="標楷體" w:hAnsi="標楷體" w:cs="標楷體"/>
          <w:color w:val="auto"/>
          <w:sz w:val="28"/>
          <w:szCs w:val="28"/>
        </w:rPr>
        <w:t>年全球行動通信之頻寬需求至少為1340-1960MHz。故無線電頻率之使用仍必須妥為管理，以發揮其最大之公共效益。復考量通訊傳播基本法第六條</w:t>
      </w:r>
      <w:r w:rsidR="001B64DB" w:rsidRPr="00CA5983">
        <w:rPr>
          <w:rFonts w:ascii="標楷體" w:eastAsia="標楷體" w:hAnsi="標楷體" w:cs="標楷體" w:hint="eastAsia"/>
          <w:color w:val="auto"/>
          <w:sz w:val="28"/>
          <w:szCs w:val="28"/>
        </w:rPr>
        <w:t>及</w:t>
      </w:r>
      <w:r w:rsidR="001B64DB" w:rsidRPr="00CA5983">
        <w:rPr>
          <w:rFonts w:ascii="標楷體" w:eastAsia="標楷體" w:hAnsi="標楷體" w:cs="標楷體"/>
          <w:color w:val="auto"/>
          <w:sz w:val="28"/>
          <w:szCs w:val="28"/>
        </w:rPr>
        <w:t>第十條所揭示</w:t>
      </w:r>
      <w:r w:rsidR="001B64DB" w:rsidRPr="00CA5983">
        <w:rPr>
          <w:rFonts w:ascii="標楷體" w:eastAsia="標楷體" w:hAnsi="標楷體" w:cs="標楷體" w:hint="eastAsia"/>
          <w:color w:val="auto"/>
          <w:sz w:val="28"/>
          <w:szCs w:val="28"/>
        </w:rPr>
        <w:t>之</w:t>
      </w:r>
      <w:r w:rsidRPr="00CA5983">
        <w:rPr>
          <w:rFonts w:ascii="標楷體" w:eastAsia="標楷體" w:hAnsi="標楷體" w:cs="標楷體"/>
          <w:color w:val="auto"/>
          <w:sz w:val="28"/>
          <w:szCs w:val="28"/>
        </w:rPr>
        <w:t>技術中立、公眾便利性及必要性等原則，並致力與國際接軌，特改變過去頻率釋出方式，賦與主管機關依頻率之特性及使用目的，得以拍賣、公開招標或其他適當方式彈性釋出頻率，並預留因應新技術發展之相關措施，如頻譜共享機制及免</w:t>
      </w:r>
      <w:r w:rsidR="001B64DB" w:rsidRPr="00CA5983">
        <w:rPr>
          <w:rFonts w:ascii="標楷體" w:eastAsia="標楷體" w:hAnsi="標楷體" w:cs="標楷體" w:hint="eastAsia"/>
          <w:color w:val="auto"/>
          <w:sz w:val="28"/>
          <w:szCs w:val="28"/>
        </w:rPr>
        <w:t>授權</w:t>
      </w:r>
      <w:r w:rsidRPr="00CA5983">
        <w:rPr>
          <w:rFonts w:ascii="標楷體" w:eastAsia="標楷體" w:hAnsi="標楷體" w:cs="標楷體"/>
          <w:color w:val="auto"/>
          <w:sz w:val="28"/>
          <w:szCs w:val="28"/>
        </w:rPr>
        <w:t>使用頻率</w:t>
      </w:r>
      <w:r w:rsidRPr="00CA5983">
        <w:rPr>
          <w:rFonts w:ascii="標楷體" w:eastAsia="標楷體" w:hAnsi="標楷體" w:cs="標楷體" w:hint="eastAsia"/>
          <w:color w:val="auto"/>
          <w:sz w:val="28"/>
          <w:szCs w:val="28"/>
        </w:rPr>
        <w:t>等</w:t>
      </w:r>
      <w:r w:rsidR="00E65652" w:rsidRPr="00CA5983">
        <w:rPr>
          <w:rFonts w:ascii="標楷體" w:eastAsia="標楷體" w:hAnsi="標楷體" w:cs="標楷體"/>
          <w:color w:val="auto"/>
          <w:sz w:val="28"/>
          <w:szCs w:val="28"/>
        </w:rPr>
        <w:t>，以促進頻率之使用</w:t>
      </w:r>
      <w:r w:rsidRPr="00CA5983">
        <w:rPr>
          <w:rFonts w:ascii="標楷體" w:eastAsia="標楷體" w:hAnsi="標楷體" w:cs="標楷體"/>
          <w:color w:val="auto"/>
          <w:sz w:val="28"/>
          <w:szCs w:val="28"/>
        </w:rPr>
        <w:t>效率，</w:t>
      </w:r>
      <w:r w:rsidRPr="00CA5983">
        <w:rPr>
          <w:rFonts w:ascii="標楷體" w:eastAsia="標楷體" w:hAnsi="標楷體" w:cs="標楷體"/>
          <w:color w:val="auto"/>
          <w:sz w:val="28"/>
          <w:szCs w:val="28"/>
        </w:rPr>
        <w:lastRenderedPageBreak/>
        <w:t>並鼓勵通訊傳播新技術及服務之發展。</w:t>
      </w:r>
    </w:p>
    <w:p w:rsidR="00915556" w:rsidRPr="00CA5983" w:rsidRDefault="00915556" w:rsidP="00116417">
      <w:pPr>
        <w:spacing w:before="48" w:line="460" w:lineRule="exact"/>
        <w:ind w:left="0" w:firstLine="56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綜上說明，在「健全匯流產業發展、鼓勵創新服務、促進市場公平競爭」、「促進頻率號碼等電信稀有資源和諧、有效、公平彈性運用」、以及「增進匯流基礎網路增設、維護效率與網路安全」之立法精神下，</w:t>
      </w:r>
      <w:proofErr w:type="gramStart"/>
      <w:r w:rsidR="00E65652" w:rsidRPr="00CA5983">
        <w:rPr>
          <w:rFonts w:ascii="標楷體" w:eastAsia="標楷體" w:hAnsi="標楷體" w:cs="標楷體" w:hint="eastAsia"/>
          <w:color w:val="auto"/>
          <w:sz w:val="28"/>
          <w:szCs w:val="28"/>
        </w:rPr>
        <w:t>爰</w:t>
      </w:r>
      <w:proofErr w:type="gramEnd"/>
      <w:r w:rsidR="00E65652" w:rsidRPr="00CA5983">
        <w:rPr>
          <w:rFonts w:ascii="標楷體" w:eastAsia="標楷體" w:hAnsi="標楷體" w:cs="標楷體" w:hint="eastAsia"/>
          <w:color w:val="auto"/>
          <w:sz w:val="28"/>
          <w:szCs w:val="28"/>
        </w:rPr>
        <w:t>擬具</w:t>
      </w:r>
      <w:r w:rsidR="00E65652" w:rsidRPr="00CA5983">
        <w:rPr>
          <w:rFonts w:ascii="標楷體" w:eastAsia="標楷體" w:hAnsi="標楷體" w:cs="標楷體"/>
          <w:color w:val="auto"/>
          <w:sz w:val="28"/>
          <w:szCs w:val="28"/>
        </w:rPr>
        <w:t>「</w:t>
      </w:r>
      <w:r w:rsidR="00E65652" w:rsidRPr="00CA5983">
        <w:rPr>
          <w:rFonts w:ascii="標楷體" w:eastAsia="標楷體" w:hAnsi="標楷體" w:cs="標楷體" w:hint="eastAsia"/>
          <w:color w:val="auto"/>
          <w:sz w:val="28"/>
          <w:szCs w:val="28"/>
        </w:rPr>
        <w:t>電信管理法</w:t>
      </w:r>
      <w:r w:rsidR="00E65652" w:rsidRPr="00CA5983">
        <w:rPr>
          <w:rFonts w:ascii="標楷體" w:eastAsia="標楷體" w:hAnsi="標楷體" w:cs="標楷體"/>
          <w:color w:val="auto"/>
          <w:sz w:val="28"/>
          <w:szCs w:val="28"/>
        </w:rPr>
        <w:t>」</w:t>
      </w:r>
      <w:r w:rsidR="00E65652" w:rsidRPr="00CA5983">
        <w:rPr>
          <w:rFonts w:ascii="標楷體" w:eastAsia="標楷體" w:hAnsi="標楷體" w:cs="標楷體" w:hint="eastAsia"/>
          <w:color w:val="auto"/>
          <w:sz w:val="28"/>
          <w:szCs w:val="28"/>
        </w:rPr>
        <w:t>草案，其要點</w:t>
      </w:r>
      <w:r w:rsidRPr="00CA5983">
        <w:rPr>
          <w:rFonts w:ascii="標楷體" w:eastAsia="標楷體" w:hAnsi="標楷體" w:cs="標楷體"/>
          <w:color w:val="auto"/>
          <w:sz w:val="28"/>
          <w:szCs w:val="28"/>
        </w:rPr>
        <w:t>如下：</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本法立法目的。(草案第一條)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為鼓勵市場參進以帶動創新服務，參進制度由現行電信法特許制及許可制，改</w:t>
      </w:r>
      <w:proofErr w:type="gramStart"/>
      <w:r w:rsidRPr="00CA5983">
        <w:rPr>
          <w:rFonts w:ascii="標楷體" w:eastAsia="標楷體" w:hAnsi="標楷體" w:cs="標楷體"/>
          <w:color w:val="auto"/>
          <w:sz w:val="28"/>
          <w:szCs w:val="28"/>
        </w:rPr>
        <w:t>採</w:t>
      </w:r>
      <w:proofErr w:type="gramEnd"/>
      <w:r w:rsidRPr="00CA5983">
        <w:rPr>
          <w:rFonts w:ascii="標楷體" w:eastAsia="標楷體" w:hAnsi="標楷體" w:cs="標楷體"/>
          <w:color w:val="auto"/>
          <w:sz w:val="28"/>
          <w:szCs w:val="28"/>
        </w:rPr>
        <w:t>登記制，並明定應辦理登記之行為樣態。(草案第五條)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申請登記應備具之文件及應予廢止</w:t>
      </w:r>
      <w:r w:rsidR="00E06DB7" w:rsidRPr="00CA5983">
        <w:rPr>
          <w:rFonts w:ascii="標楷體" w:eastAsia="標楷體" w:hAnsi="標楷體" w:cs="標楷體" w:hint="eastAsia"/>
          <w:color w:val="auto"/>
          <w:sz w:val="28"/>
          <w:szCs w:val="28"/>
        </w:rPr>
        <w:t>登記</w:t>
      </w:r>
      <w:r w:rsidRPr="00CA5983">
        <w:rPr>
          <w:rFonts w:ascii="標楷體" w:eastAsia="標楷體" w:hAnsi="標楷體" w:cs="標楷體"/>
          <w:color w:val="auto"/>
          <w:sz w:val="28"/>
          <w:szCs w:val="28"/>
        </w:rPr>
        <w:t>之情形。(</w:t>
      </w:r>
      <w:r w:rsidR="00E65652" w:rsidRPr="00CA5983">
        <w:rPr>
          <w:rFonts w:ascii="標楷體" w:eastAsia="標楷體" w:hAnsi="標楷體" w:cs="標楷體"/>
          <w:color w:val="auto"/>
          <w:sz w:val="28"/>
          <w:szCs w:val="28"/>
        </w:rPr>
        <w:t>草案第六條</w:t>
      </w:r>
      <w:r w:rsidR="00E65652" w:rsidRPr="00CA5983">
        <w:rPr>
          <w:rFonts w:ascii="標楷體" w:eastAsia="標楷體" w:hAnsi="標楷體" w:cs="標楷體" w:hint="eastAsia"/>
          <w:color w:val="auto"/>
          <w:sz w:val="28"/>
          <w:szCs w:val="28"/>
        </w:rPr>
        <w:t>及</w:t>
      </w:r>
      <w:r w:rsidRPr="00CA5983">
        <w:rPr>
          <w:rFonts w:ascii="標楷體" w:eastAsia="標楷體" w:hAnsi="標楷體" w:cs="標楷體"/>
          <w:color w:val="auto"/>
          <w:sz w:val="28"/>
          <w:szCs w:val="28"/>
        </w:rPr>
        <w:t>第七條)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為維護消費權益及公共利益，明定電信事業提供電信服務之一般義務。(草案第八條至第十三條)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為保障用戶權益、確保電信服務之提供，明定特定電信事業應遵守之特別義務。(草案第十四條至第二十一條)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電信</w:t>
      </w:r>
      <w:r w:rsidR="00E65652" w:rsidRPr="00CA5983">
        <w:rPr>
          <w:rFonts w:ascii="標楷體" w:eastAsia="標楷體" w:hAnsi="標楷體" w:cs="標楷體" w:hint="eastAsia"/>
          <w:color w:val="auto"/>
          <w:sz w:val="28"/>
          <w:szCs w:val="28"/>
        </w:rPr>
        <w:t>事業為</w:t>
      </w:r>
      <w:r w:rsidR="00E65652" w:rsidRPr="00CA5983">
        <w:rPr>
          <w:rFonts w:ascii="標楷體" w:eastAsia="標楷體" w:hAnsi="標楷體" w:cs="標楷體"/>
          <w:color w:val="auto"/>
          <w:sz w:val="28"/>
          <w:szCs w:val="28"/>
        </w:rPr>
        <w:t>災害防救、通訊保障及監察</w:t>
      </w:r>
      <w:r w:rsidR="00E65652" w:rsidRPr="00CA5983">
        <w:rPr>
          <w:rFonts w:ascii="標楷體" w:eastAsia="標楷體" w:hAnsi="標楷體" w:cs="標楷體" w:hint="eastAsia"/>
          <w:color w:val="auto"/>
          <w:sz w:val="28"/>
          <w:szCs w:val="28"/>
        </w:rPr>
        <w:t>、</w:t>
      </w:r>
      <w:r w:rsidRPr="00CA5983">
        <w:rPr>
          <w:rFonts w:ascii="標楷體" w:eastAsia="標楷體" w:hAnsi="標楷體" w:cs="標楷體"/>
          <w:color w:val="auto"/>
          <w:sz w:val="28"/>
          <w:szCs w:val="28"/>
        </w:rPr>
        <w:t>身心障礙者權益保障</w:t>
      </w:r>
      <w:r w:rsidR="00E65652" w:rsidRPr="00CA5983">
        <w:rPr>
          <w:rFonts w:ascii="標楷體" w:eastAsia="標楷體" w:hAnsi="標楷體" w:cs="標楷體" w:hint="eastAsia"/>
          <w:color w:val="auto"/>
          <w:sz w:val="28"/>
          <w:szCs w:val="28"/>
        </w:rPr>
        <w:t>與提供普及服務應遵守</w:t>
      </w:r>
      <w:r w:rsidRPr="00CA5983">
        <w:rPr>
          <w:rFonts w:ascii="標楷體" w:eastAsia="標楷體" w:hAnsi="標楷體" w:cs="標楷體"/>
          <w:color w:val="auto"/>
          <w:sz w:val="28"/>
          <w:szCs w:val="28"/>
        </w:rPr>
        <w:t>之指定義務。(草案第二十二條至第二十四條)</w:t>
      </w:r>
    </w:p>
    <w:p w:rsidR="00915556" w:rsidRPr="00CA5983" w:rsidRDefault="00915556"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電信事業投資、讓與、受讓及合併規範。(草案第二十五條及第二十六條)</w:t>
      </w:r>
    </w:p>
    <w:p w:rsidR="00915556" w:rsidRPr="00CA5983" w:rsidRDefault="00E65652" w:rsidP="00116417">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hint="eastAsia"/>
          <w:color w:val="auto"/>
          <w:sz w:val="28"/>
          <w:szCs w:val="28"/>
        </w:rPr>
        <w:t>特定電信服務市場之</w:t>
      </w:r>
      <w:r w:rsidR="00915556" w:rsidRPr="00CA5983">
        <w:rPr>
          <w:rFonts w:ascii="標楷體" w:eastAsia="標楷體" w:hAnsi="標楷體" w:cs="標楷體"/>
          <w:color w:val="auto"/>
          <w:sz w:val="28"/>
          <w:szCs w:val="28"/>
        </w:rPr>
        <w:t>市場顯著地位者之認定與管制措施。(草案第二十七條至第三十四條)</w:t>
      </w:r>
    </w:p>
    <w:p w:rsidR="00915556" w:rsidRPr="00CA5983" w:rsidRDefault="00E65652" w:rsidP="00507168">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為因應國際</w:t>
      </w:r>
      <w:r w:rsidRPr="00CA5983">
        <w:rPr>
          <w:rFonts w:ascii="標楷體" w:eastAsia="標楷體" w:hAnsi="標楷體" w:cs="標楷體" w:hint="eastAsia"/>
          <w:color w:val="auto"/>
          <w:sz w:val="28"/>
          <w:szCs w:val="28"/>
        </w:rPr>
        <w:t>條約及</w:t>
      </w:r>
      <w:r w:rsidR="00915556" w:rsidRPr="00CA5983">
        <w:rPr>
          <w:rFonts w:ascii="標楷體" w:eastAsia="標楷體" w:hAnsi="標楷體" w:cs="標楷體"/>
          <w:color w:val="auto"/>
          <w:sz w:val="28"/>
          <w:szCs w:val="28"/>
        </w:rPr>
        <w:t>協定，</w:t>
      </w:r>
      <w:r w:rsidRPr="00CA5983">
        <w:rPr>
          <w:rFonts w:ascii="標楷體" w:eastAsia="標楷體" w:hAnsi="標楷體" w:cs="標楷體" w:hint="eastAsia"/>
          <w:color w:val="auto"/>
          <w:sz w:val="28"/>
          <w:szCs w:val="28"/>
        </w:rPr>
        <w:t>對提供</w:t>
      </w:r>
      <w:r w:rsidR="00915556" w:rsidRPr="00CA5983">
        <w:rPr>
          <w:rFonts w:ascii="標楷體" w:eastAsia="標楷體" w:hAnsi="標楷體" w:cs="標楷體"/>
          <w:color w:val="auto"/>
          <w:sz w:val="28"/>
          <w:szCs w:val="28"/>
        </w:rPr>
        <w:t>國際漫遊服務</w:t>
      </w:r>
      <w:r w:rsidRPr="00CA5983">
        <w:rPr>
          <w:rFonts w:ascii="標楷體" w:eastAsia="標楷體" w:hAnsi="標楷體" w:cs="標楷體" w:hint="eastAsia"/>
          <w:color w:val="auto"/>
          <w:sz w:val="28"/>
          <w:szCs w:val="28"/>
        </w:rPr>
        <w:t>電信事業</w:t>
      </w:r>
      <w:r w:rsidR="00915556" w:rsidRPr="00CA5983">
        <w:rPr>
          <w:rFonts w:ascii="標楷體" w:eastAsia="標楷體" w:hAnsi="標楷體" w:cs="標楷體"/>
          <w:color w:val="auto"/>
          <w:sz w:val="28"/>
          <w:szCs w:val="28"/>
        </w:rPr>
        <w:t>之管制措施。(草案第三十五條)</w:t>
      </w:r>
    </w:p>
    <w:p w:rsidR="00915556" w:rsidRPr="00CA5983" w:rsidRDefault="00E65652" w:rsidP="00507168">
      <w:pPr>
        <w:numPr>
          <w:ilvl w:val="0"/>
          <w:numId w:val="1"/>
        </w:numPr>
        <w:spacing w:before="48" w:line="460" w:lineRule="exact"/>
        <w:ind w:hanging="570"/>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公眾電信網路設置之申請</w:t>
      </w:r>
      <w:r w:rsidRPr="00CA5983">
        <w:rPr>
          <w:rFonts w:ascii="標楷體" w:eastAsia="標楷體" w:hAnsi="標楷體" w:cs="標楷體" w:hint="eastAsia"/>
          <w:color w:val="auto"/>
          <w:sz w:val="28"/>
          <w:szCs w:val="28"/>
        </w:rPr>
        <w:t>、</w:t>
      </w:r>
      <w:r w:rsidRPr="00CA5983">
        <w:rPr>
          <w:rFonts w:ascii="標楷體" w:eastAsia="標楷體" w:hAnsi="標楷體" w:cs="標楷體"/>
          <w:color w:val="auto"/>
          <w:sz w:val="28"/>
          <w:szCs w:val="28"/>
        </w:rPr>
        <w:t>安全與維運，及電信終端</w:t>
      </w:r>
      <w:proofErr w:type="gramStart"/>
      <w:r w:rsidRPr="00CA5983">
        <w:rPr>
          <w:rFonts w:ascii="標楷體" w:eastAsia="標楷體" w:hAnsi="標楷體" w:cs="標楷體"/>
          <w:color w:val="auto"/>
          <w:sz w:val="28"/>
          <w:szCs w:val="28"/>
        </w:rPr>
        <w:t>設備審驗相關</w:t>
      </w:r>
      <w:proofErr w:type="gramEnd"/>
      <w:r w:rsidRPr="00CA5983">
        <w:rPr>
          <w:rFonts w:ascii="標楷體" w:eastAsia="標楷體" w:hAnsi="標楷體" w:cs="標楷體"/>
          <w:color w:val="auto"/>
          <w:sz w:val="28"/>
          <w:szCs w:val="28"/>
        </w:rPr>
        <w:t>規定。（草案第三十六條至第</w:t>
      </w:r>
      <w:r w:rsidRPr="00CA5983">
        <w:rPr>
          <w:rFonts w:ascii="標楷體" w:eastAsia="標楷體" w:hAnsi="標楷體" w:cs="標楷體" w:hint="eastAsia"/>
          <w:color w:val="auto"/>
          <w:sz w:val="28"/>
          <w:szCs w:val="28"/>
        </w:rPr>
        <w:t>四十五</w:t>
      </w:r>
      <w:r w:rsidR="00915556" w:rsidRPr="00CA5983">
        <w:rPr>
          <w:rFonts w:ascii="標楷體" w:eastAsia="標楷體" w:hAnsi="標楷體" w:cs="標楷體"/>
          <w:color w:val="auto"/>
          <w:sz w:val="28"/>
          <w:szCs w:val="28"/>
        </w:rPr>
        <w:t>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促進電信基礎設施之建設。(草案四十六條至第四十九條)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專用電信網路設置之申請，及業</w:t>
      </w:r>
      <w:r w:rsidR="00E65652" w:rsidRPr="00CA5983">
        <w:rPr>
          <w:rFonts w:ascii="標楷體" w:eastAsia="標楷體" w:hAnsi="標楷體" w:cs="標楷體"/>
          <w:color w:val="auto"/>
          <w:sz w:val="28"/>
          <w:szCs w:val="28"/>
        </w:rPr>
        <w:t>餘無線電人員操作管理相關規定。（草案第五十條</w:t>
      </w:r>
      <w:r w:rsidR="00E65652" w:rsidRPr="00CA5983">
        <w:rPr>
          <w:rFonts w:ascii="標楷體" w:eastAsia="標楷體" w:hAnsi="標楷體" w:cs="標楷體" w:hint="eastAsia"/>
          <w:color w:val="auto"/>
          <w:sz w:val="28"/>
          <w:szCs w:val="28"/>
        </w:rPr>
        <w:t>及</w:t>
      </w:r>
      <w:r w:rsidRPr="00CA5983">
        <w:rPr>
          <w:rFonts w:ascii="標楷體" w:eastAsia="標楷體" w:hAnsi="標楷體" w:cs="標楷體"/>
          <w:color w:val="auto"/>
          <w:sz w:val="28"/>
          <w:szCs w:val="28"/>
        </w:rPr>
        <w:t>第五十一條）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無線電頻率規劃、分配、管理及電信管制射頻器材管理相關規定。</w:t>
      </w:r>
      <w:r w:rsidRPr="00CA5983">
        <w:rPr>
          <w:rFonts w:ascii="標楷體" w:eastAsia="標楷體" w:hAnsi="標楷體" w:cs="標楷體"/>
          <w:color w:val="auto"/>
          <w:sz w:val="28"/>
          <w:szCs w:val="28"/>
        </w:rPr>
        <w:lastRenderedPageBreak/>
        <w:t>（草案第五十二條至第六十七條）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電信號碼之規劃、使用管理，及網際網路位址及網域名稱之監督。（草案第六十八條至第七十一條）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違反本法相關規定之罰則。（草案第七十二條至第八十二條）</w:t>
      </w:r>
    </w:p>
    <w:p w:rsidR="00915556" w:rsidRPr="00CA5983" w:rsidRDefault="00915556" w:rsidP="00507168">
      <w:pPr>
        <w:numPr>
          <w:ilvl w:val="0"/>
          <w:numId w:val="1"/>
        </w:numPr>
        <w:spacing w:before="48" w:line="460" w:lineRule="exact"/>
        <w:ind w:left="851" w:hanging="851"/>
        <w:jc w:val="both"/>
        <w:rPr>
          <w:rFonts w:ascii="標楷體" w:eastAsia="標楷體" w:hAnsi="標楷體" w:cs="標楷體"/>
          <w:color w:val="auto"/>
          <w:sz w:val="28"/>
          <w:szCs w:val="28"/>
        </w:rPr>
      </w:pPr>
      <w:r w:rsidRPr="00CA5983">
        <w:rPr>
          <w:rFonts w:ascii="標楷體" w:eastAsia="標楷體" w:hAnsi="標楷體" w:cs="標楷體"/>
          <w:color w:val="auto"/>
          <w:sz w:val="28"/>
          <w:szCs w:val="28"/>
        </w:rPr>
        <w:t>既有電信事業身分之轉換、政府協助加速電信基礎設施之建設、得與他國簽定相互承認協定及軍事專用電信不受本法限制之規定。（草案第八十三條至第九十四條）</w:t>
      </w:r>
    </w:p>
    <w:sectPr w:rsidR="00915556" w:rsidRPr="00CA5983" w:rsidSect="00915556">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AA" w:rsidRDefault="00D45CAA" w:rsidP="00915556">
      <w:r>
        <w:separator/>
      </w:r>
    </w:p>
  </w:endnote>
  <w:endnote w:type="continuationSeparator" w:id="0">
    <w:p w:rsidR="00D45CAA" w:rsidRDefault="00D45CAA" w:rsidP="0091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4515"/>
      <w:docPartObj>
        <w:docPartGallery w:val="Page Numbers (Bottom of Page)"/>
        <w:docPartUnique/>
      </w:docPartObj>
    </w:sdtPr>
    <w:sdtEndPr/>
    <w:sdtContent>
      <w:p w:rsidR="003F3A80" w:rsidRDefault="002B521A" w:rsidP="00915556">
        <w:pPr>
          <w:pStyle w:val="a8"/>
          <w:ind w:left="709"/>
          <w:jc w:val="center"/>
        </w:pPr>
        <w:r>
          <w:fldChar w:fldCharType="begin"/>
        </w:r>
        <w:r w:rsidR="003F3A80">
          <w:instrText xml:space="preserve"> PAGE   \* MERGEFORMAT </w:instrText>
        </w:r>
        <w:r>
          <w:fldChar w:fldCharType="separate"/>
        </w:r>
        <w:r w:rsidR="00B62DDD" w:rsidRPr="00B62DDD">
          <w:rPr>
            <w:noProof/>
            <w:lang w:val="zh-TW"/>
          </w:rPr>
          <w:t>5</w:t>
        </w:r>
        <w:r>
          <w:rPr>
            <w:noProof/>
            <w:lang w:val="zh-TW"/>
          </w:rPr>
          <w:fldChar w:fldCharType="end"/>
        </w:r>
      </w:p>
    </w:sdtContent>
  </w:sdt>
  <w:p w:rsidR="003F3A80" w:rsidRDefault="003F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AA" w:rsidRDefault="00D45CAA" w:rsidP="00915556">
      <w:r>
        <w:separator/>
      </w:r>
    </w:p>
  </w:footnote>
  <w:footnote w:type="continuationSeparator" w:id="0">
    <w:p w:rsidR="00D45CAA" w:rsidRDefault="00D45CAA" w:rsidP="0091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3A"/>
    <w:multiLevelType w:val="hybridMultilevel"/>
    <w:tmpl w:val="B528477E"/>
    <w:lvl w:ilvl="0" w:tplc="1D325A04">
      <w:start w:val="1"/>
      <w:numFmt w:val="taiwaneseCountingThousand"/>
      <w:lvlText w:val="%1、"/>
      <w:lvlJc w:val="left"/>
      <w:pPr>
        <w:ind w:left="480" w:hanging="480"/>
      </w:pPr>
      <w:rPr>
        <w:rFonts w:hint="eastAsia"/>
        <w:caps w:val="0"/>
        <w:strike w:val="0"/>
        <w:dstrike w:val="0"/>
        <w:vanish w:val="0"/>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6C5A3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 w15:restartNumberingAfterBreak="0">
    <w:nsid w:val="00EC7CA3"/>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 w15:restartNumberingAfterBreak="0">
    <w:nsid w:val="029369DF"/>
    <w:multiLevelType w:val="multilevel"/>
    <w:tmpl w:val="ED6E5BB0"/>
    <w:lvl w:ilvl="0">
      <w:start w:val="1"/>
      <w:numFmt w:val="taiwaneseCountingThousand"/>
      <w:lvlText w:val="%1、"/>
      <w:lvlJc w:val="left"/>
      <w:pPr>
        <w:ind w:left="480" w:firstLine="0"/>
      </w:pPr>
      <w:rPr>
        <w:strike w:val="0"/>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4" w15:restartNumberingAfterBreak="0">
    <w:nsid w:val="03EA4B77"/>
    <w:multiLevelType w:val="hybridMultilevel"/>
    <w:tmpl w:val="2B8E3498"/>
    <w:lvl w:ilvl="0" w:tplc="3A483DAC">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40F5061"/>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493306E"/>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 w15:restartNumberingAfterBreak="0">
    <w:nsid w:val="0561118C"/>
    <w:multiLevelType w:val="hybridMultilevel"/>
    <w:tmpl w:val="F006C71C"/>
    <w:lvl w:ilvl="0" w:tplc="278A2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8279F4"/>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 w15:restartNumberingAfterBreak="0">
    <w:nsid w:val="05BF3196"/>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074A401F"/>
    <w:multiLevelType w:val="hybridMultilevel"/>
    <w:tmpl w:val="27C87BE0"/>
    <w:lvl w:ilvl="0" w:tplc="325EB1D6">
      <w:start w:val="11"/>
      <w:numFmt w:val="taiwaneseCountingThousand"/>
      <w:lvlText w:val="%1、"/>
      <w:lvlJc w:val="left"/>
      <w:pPr>
        <w:ind w:left="720" w:hanging="48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9140E5"/>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2" w15:restartNumberingAfterBreak="0">
    <w:nsid w:val="0B2841A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3" w15:restartNumberingAfterBreak="0">
    <w:nsid w:val="0BC703B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4" w15:restartNumberingAfterBreak="0">
    <w:nsid w:val="0C4B3CC9"/>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5" w15:restartNumberingAfterBreak="0">
    <w:nsid w:val="0C5F4E2D"/>
    <w:multiLevelType w:val="hybridMultilevel"/>
    <w:tmpl w:val="B6BE1194"/>
    <w:lvl w:ilvl="0" w:tplc="AE269384">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0E4D63FF"/>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0F113CAF"/>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0F486D82"/>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9" w15:restartNumberingAfterBreak="0">
    <w:nsid w:val="102478FD"/>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0" w15:restartNumberingAfterBreak="0">
    <w:nsid w:val="14594B04"/>
    <w:multiLevelType w:val="hybridMultilevel"/>
    <w:tmpl w:val="B6BE1194"/>
    <w:lvl w:ilvl="0" w:tplc="AE269384">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14C1666B"/>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2" w15:restartNumberingAfterBreak="0">
    <w:nsid w:val="161E29AD"/>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3" w15:restartNumberingAfterBreak="0">
    <w:nsid w:val="1778021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4" w15:restartNumberingAfterBreak="0">
    <w:nsid w:val="18EF35D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5" w15:restartNumberingAfterBreak="0">
    <w:nsid w:val="194D58B7"/>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6" w15:restartNumberingAfterBreak="0">
    <w:nsid w:val="19E7695E"/>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7" w15:restartNumberingAfterBreak="0">
    <w:nsid w:val="1ADC2C4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8" w15:restartNumberingAfterBreak="0">
    <w:nsid w:val="1B8D2D3D"/>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29" w15:restartNumberingAfterBreak="0">
    <w:nsid w:val="1DE06025"/>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0" w15:restartNumberingAfterBreak="0">
    <w:nsid w:val="1E6A03EC"/>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203E2257"/>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2" w15:restartNumberingAfterBreak="0">
    <w:nsid w:val="21DC39E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3" w15:restartNumberingAfterBreak="0">
    <w:nsid w:val="22C343E0"/>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24297E12"/>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5" w15:restartNumberingAfterBreak="0">
    <w:nsid w:val="247A0373"/>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6" w15:restartNumberingAfterBreak="0">
    <w:nsid w:val="24D3707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37" w15:restartNumberingAfterBreak="0">
    <w:nsid w:val="25015A8E"/>
    <w:multiLevelType w:val="hybridMultilevel"/>
    <w:tmpl w:val="9EB64878"/>
    <w:lvl w:ilvl="0" w:tplc="9F7E1B64">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262B7C41"/>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264A2211"/>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0" w15:restartNumberingAfterBreak="0">
    <w:nsid w:val="26BD59C1"/>
    <w:multiLevelType w:val="hybridMultilevel"/>
    <w:tmpl w:val="70562F3E"/>
    <w:lvl w:ilvl="0" w:tplc="C96E169E">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27843F02"/>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2" w15:restartNumberingAfterBreak="0">
    <w:nsid w:val="2821294F"/>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3" w15:restartNumberingAfterBreak="0">
    <w:nsid w:val="2936254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4" w15:restartNumberingAfterBreak="0">
    <w:nsid w:val="29403D55"/>
    <w:multiLevelType w:val="hybridMultilevel"/>
    <w:tmpl w:val="70562F3E"/>
    <w:lvl w:ilvl="0" w:tplc="C96E169E">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297C3140"/>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6" w15:restartNumberingAfterBreak="0">
    <w:nsid w:val="29CA5676"/>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31B707B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8" w15:restartNumberingAfterBreak="0">
    <w:nsid w:val="35C752EE"/>
    <w:multiLevelType w:val="multilevel"/>
    <w:tmpl w:val="92AEAA3A"/>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49" w15:restartNumberingAfterBreak="0">
    <w:nsid w:val="3780697E"/>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0" w15:restartNumberingAfterBreak="0">
    <w:nsid w:val="39E83C90"/>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1" w15:restartNumberingAfterBreak="0">
    <w:nsid w:val="3F0C6D1C"/>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2" w15:restartNumberingAfterBreak="0">
    <w:nsid w:val="42114E58"/>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3" w15:restartNumberingAfterBreak="0">
    <w:nsid w:val="428C3D8E"/>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4" w15:restartNumberingAfterBreak="0">
    <w:nsid w:val="42DF320B"/>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5" w15:restartNumberingAfterBreak="0">
    <w:nsid w:val="45354CB7"/>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6" w15:restartNumberingAfterBreak="0">
    <w:nsid w:val="46835D8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7" w15:restartNumberingAfterBreak="0">
    <w:nsid w:val="469A3347"/>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8" w15:restartNumberingAfterBreak="0">
    <w:nsid w:val="48954CA3"/>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59" w15:restartNumberingAfterBreak="0">
    <w:nsid w:val="4B694E4D"/>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15:restartNumberingAfterBreak="0">
    <w:nsid w:val="4BC61F63"/>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1" w15:restartNumberingAfterBreak="0">
    <w:nsid w:val="4C9F27DC"/>
    <w:multiLevelType w:val="multilevel"/>
    <w:tmpl w:val="F006D332"/>
    <w:lvl w:ilvl="0">
      <w:start w:val="1"/>
      <w:numFmt w:val="taiwaneseCountingThousand"/>
      <w:lvlText w:val="%1、"/>
      <w:lvlJc w:val="left"/>
      <w:pPr>
        <w:ind w:left="570" w:firstLine="0"/>
      </w:pPr>
      <w:rPr>
        <w:sz w:val="28"/>
        <w:szCs w:val="28"/>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62" w15:restartNumberingAfterBreak="0">
    <w:nsid w:val="4D8E7AF7"/>
    <w:multiLevelType w:val="hybridMultilevel"/>
    <w:tmpl w:val="B6BE1194"/>
    <w:lvl w:ilvl="0" w:tplc="AE269384">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4EBC5139"/>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4" w15:restartNumberingAfterBreak="0">
    <w:nsid w:val="4F3F72AF"/>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5" w15:restartNumberingAfterBreak="0">
    <w:nsid w:val="4FA123EB"/>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6" w15:restartNumberingAfterBreak="0">
    <w:nsid w:val="50076A15"/>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7" w15:restartNumberingAfterBreak="0">
    <w:nsid w:val="537D3BC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8" w15:restartNumberingAfterBreak="0">
    <w:nsid w:val="53CF7C64"/>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69" w15:restartNumberingAfterBreak="0">
    <w:nsid w:val="54BD2659"/>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0" w15:restartNumberingAfterBreak="0">
    <w:nsid w:val="54DA6C99"/>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1" w15:restartNumberingAfterBreak="0">
    <w:nsid w:val="5A0941DA"/>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15:restartNumberingAfterBreak="0">
    <w:nsid w:val="5A123F44"/>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3" w15:restartNumberingAfterBreak="0">
    <w:nsid w:val="5AC34041"/>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15:restartNumberingAfterBreak="0">
    <w:nsid w:val="5AEC5DB2"/>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5" w15:restartNumberingAfterBreak="0">
    <w:nsid w:val="5B742F5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6" w15:restartNumberingAfterBreak="0">
    <w:nsid w:val="5D0977F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7" w15:restartNumberingAfterBreak="0">
    <w:nsid w:val="5D1D664F"/>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78" w15:restartNumberingAfterBreak="0">
    <w:nsid w:val="5E48470E"/>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9" w15:restartNumberingAfterBreak="0">
    <w:nsid w:val="5EBD3210"/>
    <w:multiLevelType w:val="multilevel"/>
    <w:tmpl w:val="9BAA3B6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0" w15:restartNumberingAfterBreak="0">
    <w:nsid w:val="5F7C640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1" w15:restartNumberingAfterBreak="0">
    <w:nsid w:val="60A327CD"/>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2" w15:restartNumberingAfterBreak="0">
    <w:nsid w:val="61DE508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3" w15:restartNumberingAfterBreak="0">
    <w:nsid w:val="62A94244"/>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4" w15:restartNumberingAfterBreak="0">
    <w:nsid w:val="62FA498B"/>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5" w15:restartNumberingAfterBreak="0">
    <w:nsid w:val="64817BF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6" w15:restartNumberingAfterBreak="0">
    <w:nsid w:val="650F3029"/>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87" w15:restartNumberingAfterBreak="0">
    <w:nsid w:val="65C459A6"/>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8" w15:restartNumberingAfterBreak="0">
    <w:nsid w:val="677E0BFB"/>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9" w15:restartNumberingAfterBreak="0">
    <w:nsid w:val="67A2036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0" w15:restartNumberingAfterBreak="0">
    <w:nsid w:val="69C44A64"/>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1" w15:restartNumberingAfterBreak="0">
    <w:nsid w:val="6B851228"/>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2" w15:restartNumberingAfterBreak="0">
    <w:nsid w:val="6C4600D6"/>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3" w15:restartNumberingAfterBreak="0">
    <w:nsid w:val="6D31351F"/>
    <w:multiLevelType w:val="hybridMultilevel"/>
    <w:tmpl w:val="2B8E3498"/>
    <w:lvl w:ilvl="0" w:tplc="3A483DAC">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4" w15:restartNumberingAfterBreak="0">
    <w:nsid w:val="6D620DFA"/>
    <w:multiLevelType w:val="hybridMultilevel"/>
    <w:tmpl w:val="73C4A99A"/>
    <w:lvl w:ilvl="0" w:tplc="FDAC7CD2">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5" w15:restartNumberingAfterBreak="0">
    <w:nsid w:val="6E382CFF"/>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6" w15:restartNumberingAfterBreak="0">
    <w:nsid w:val="6F817B48"/>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7" w15:restartNumberingAfterBreak="0">
    <w:nsid w:val="70122F33"/>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8" w15:restartNumberingAfterBreak="0">
    <w:nsid w:val="704971F5"/>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99" w15:restartNumberingAfterBreak="0">
    <w:nsid w:val="70971511"/>
    <w:multiLevelType w:val="hybridMultilevel"/>
    <w:tmpl w:val="9EB64878"/>
    <w:lvl w:ilvl="0" w:tplc="9F7E1B64">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0" w15:restartNumberingAfterBreak="0">
    <w:nsid w:val="70F839A0"/>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1" w15:restartNumberingAfterBreak="0">
    <w:nsid w:val="72125AE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2" w15:restartNumberingAfterBreak="0">
    <w:nsid w:val="72D36016"/>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3" w15:restartNumberingAfterBreak="0">
    <w:nsid w:val="72EA3DCA"/>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4" w15:restartNumberingAfterBreak="0">
    <w:nsid w:val="73CC1965"/>
    <w:multiLevelType w:val="hybridMultilevel"/>
    <w:tmpl w:val="DE08877E"/>
    <w:lvl w:ilvl="0" w:tplc="5C629650">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5" w15:restartNumberingAfterBreak="0">
    <w:nsid w:val="75242DAB"/>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6" w15:restartNumberingAfterBreak="0">
    <w:nsid w:val="778F7DCC"/>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7" w15:restartNumberingAfterBreak="0">
    <w:nsid w:val="77C51796"/>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8" w15:restartNumberingAfterBreak="0">
    <w:nsid w:val="78495616"/>
    <w:multiLevelType w:val="multilevel"/>
    <w:tmpl w:val="D960E71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09" w15:restartNumberingAfterBreak="0">
    <w:nsid w:val="785116B6"/>
    <w:multiLevelType w:val="hybridMultilevel"/>
    <w:tmpl w:val="70562F3E"/>
    <w:lvl w:ilvl="0" w:tplc="C96E169E">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0" w15:restartNumberingAfterBreak="0">
    <w:nsid w:val="7B954EA0"/>
    <w:multiLevelType w:val="hybridMultilevel"/>
    <w:tmpl w:val="D43209B2"/>
    <w:lvl w:ilvl="0" w:tplc="764CB4DA">
      <w:start w:val="1"/>
      <w:numFmt w:val="taiwaneseCountingThousand"/>
      <w:lvlText w:val="%1、"/>
      <w:lvlJc w:val="left"/>
      <w:pPr>
        <w:ind w:left="720" w:hanging="480"/>
      </w:pPr>
      <w:rPr>
        <w:rFonts w:ascii="Times New Roman"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1" w15:restartNumberingAfterBreak="0">
    <w:nsid w:val="7CF17831"/>
    <w:multiLevelType w:val="multilevel"/>
    <w:tmpl w:val="6CB01324"/>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12" w15:restartNumberingAfterBreak="0">
    <w:nsid w:val="7D2B3299"/>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abstractNum w:abstractNumId="113" w15:restartNumberingAfterBreak="0">
    <w:nsid w:val="7D43567C"/>
    <w:multiLevelType w:val="multilevel"/>
    <w:tmpl w:val="AF669286"/>
    <w:lvl w:ilvl="0">
      <w:start w:val="1"/>
      <w:numFmt w:val="taiwaneseCountingThousand"/>
      <w:lvlText w:val="%1、"/>
      <w:lvlJc w:val="left"/>
      <w:pPr>
        <w:ind w:left="480" w:firstLine="0"/>
      </w:pPr>
      <w:rPr>
        <w:rFonts w:hint="eastAsia"/>
        <w:strike w:val="0"/>
        <w:lang w:val="en-US"/>
      </w:rPr>
    </w:lvl>
    <w:lvl w:ilvl="1">
      <w:start w:val="1"/>
      <w:numFmt w:val="decimal"/>
      <w:lvlText w:val="%2、"/>
      <w:lvlJc w:val="left"/>
      <w:pPr>
        <w:ind w:left="960" w:firstLine="480"/>
      </w:pPr>
      <w:rPr>
        <w:rFonts w:hint="eastAsia"/>
      </w:rPr>
    </w:lvl>
    <w:lvl w:ilvl="2">
      <w:start w:val="1"/>
      <w:numFmt w:val="lowerRoman"/>
      <w:lvlText w:val="%3."/>
      <w:lvlJc w:val="right"/>
      <w:pPr>
        <w:ind w:left="1440" w:firstLine="960"/>
      </w:pPr>
      <w:rPr>
        <w:rFonts w:hint="eastAsia"/>
      </w:rPr>
    </w:lvl>
    <w:lvl w:ilvl="3">
      <w:start w:val="1"/>
      <w:numFmt w:val="decimal"/>
      <w:lvlText w:val="%4."/>
      <w:lvlJc w:val="left"/>
      <w:pPr>
        <w:ind w:left="1920" w:firstLine="1440"/>
      </w:pPr>
      <w:rPr>
        <w:rFonts w:hint="eastAsia"/>
      </w:rPr>
    </w:lvl>
    <w:lvl w:ilvl="4">
      <w:start w:val="1"/>
      <w:numFmt w:val="decimal"/>
      <w:lvlText w:val="%5、"/>
      <w:lvlJc w:val="left"/>
      <w:pPr>
        <w:ind w:left="2400" w:firstLine="1920"/>
      </w:pPr>
      <w:rPr>
        <w:rFonts w:hint="eastAsia"/>
      </w:rPr>
    </w:lvl>
    <w:lvl w:ilvl="5">
      <w:start w:val="1"/>
      <w:numFmt w:val="lowerRoman"/>
      <w:lvlText w:val="%6."/>
      <w:lvlJc w:val="right"/>
      <w:pPr>
        <w:ind w:left="2880" w:firstLine="2400"/>
      </w:pPr>
      <w:rPr>
        <w:rFonts w:hint="eastAsia"/>
      </w:rPr>
    </w:lvl>
    <w:lvl w:ilvl="6">
      <w:start w:val="1"/>
      <w:numFmt w:val="decimal"/>
      <w:lvlText w:val="%7."/>
      <w:lvlJc w:val="left"/>
      <w:pPr>
        <w:ind w:left="3360" w:firstLine="2880"/>
      </w:pPr>
      <w:rPr>
        <w:rFonts w:hint="eastAsia"/>
      </w:rPr>
    </w:lvl>
    <w:lvl w:ilvl="7">
      <w:start w:val="1"/>
      <w:numFmt w:val="decimal"/>
      <w:lvlText w:val="%8、"/>
      <w:lvlJc w:val="left"/>
      <w:pPr>
        <w:ind w:left="3840" w:firstLine="3360"/>
      </w:pPr>
      <w:rPr>
        <w:rFonts w:hint="eastAsia"/>
      </w:rPr>
    </w:lvl>
    <w:lvl w:ilvl="8">
      <w:start w:val="1"/>
      <w:numFmt w:val="lowerRoman"/>
      <w:lvlText w:val="%9."/>
      <w:lvlJc w:val="right"/>
      <w:pPr>
        <w:ind w:left="4320" w:firstLine="3840"/>
      </w:pPr>
      <w:rPr>
        <w:rFonts w:hint="eastAsia"/>
      </w:rPr>
    </w:lvl>
  </w:abstractNum>
  <w:num w:numId="1">
    <w:abstractNumId w:val="61"/>
  </w:num>
  <w:num w:numId="2">
    <w:abstractNumId w:val="3"/>
  </w:num>
  <w:num w:numId="3">
    <w:abstractNumId w:val="33"/>
  </w:num>
  <w:num w:numId="4">
    <w:abstractNumId w:val="69"/>
  </w:num>
  <w:num w:numId="5">
    <w:abstractNumId w:val="83"/>
  </w:num>
  <w:num w:numId="6">
    <w:abstractNumId w:val="54"/>
  </w:num>
  <w:num w:numId="7">
    <w:abstractNumId w:val="16"/>
  </w:num>
  <w:num w:numId="8">
    <w:abstractNumId w:val="60"/>
  </w:num>
  <w:num w:numId="9">
    <w:abstractNumId w:val="87"/>
  </w:num>
  <w:num w:numId="10">
    <w:abstractNumId w:val="46"/>
  </w:num>
  <w:num w:numId="11">
    <w:abstractNumId w:val="104"/>
  </w:num>
  <w:num w:numId="12">
    <w:abstractNumId w:val="88"/>
  </w:num>
  <w:num w:numId="13">
    <w:abstractNumId w:val="20"/>
  </w:num>
  <w:num w:numId="14">
    <w:abstractNumId w:val="15"/>
  </w:num>
  <w:num w:numId="15">
    <w:abstractNumId w:val="62"/>
  </w:num>
  <w:num w:numId="16">
    <w:abstractNumId w:val="40"/>
  </w:num>
  <w:num w:numId="17">
    <w:abstractNumId w:val="109"/>
  </w:num>
  <w:num w:numId="18">
    <w:abstractNumId w:val="44"/>
  </w:num>
  <w:num w:numId="19">
    <w:abstractNumId w:val="30"/>
  </w:num>
  <w:num w:numId="20">
    <w:abstractNumId w:val="94"/>
  </w:num>
  <w:num w:numId="21">
    <w:abstractNumId w:val="17"/>
  </w:num>
  <w:num w:numId="22">
    <w:abstractNumId w:val="73"/>
  </w:num>
  <w:num w:numId="23">
    <w:abstractNumId w:val="71"/>
  </w:num>
  <w:num w:numId="24">
    <w:abstractNumId w:val="5"/>
  </w:num>
  <w:num w:numId="25">
    <w:abstractNumId w:val="37"/>
  </w:num>
  <w:num w:numId="26">
    <w:abstractNumId w:val="99"/>
  </w:num>
  <w:num w:numId="27">
    <w:abstractNumId w:val="105"/>
  </w:num>
  <w:num w:numId="28">
    <w:abstractNumId w:val="38"/>
  </w:num>
  <w:num w:numId="29">
    <w:abstractNumId w:val="9"/>
  </w:num>
  <w:num w:numId="30">
    <w:abstractNumId w:val="106"/>
  </w:num>
  <w:num w:numId="31">
    <w:abstractNumId w:val="92"/>
  </w:num>
  <w:num w:numId="32">
    <w:abstractNumId w:val="110"/>
  </w:num>
  <w:num w:numId="33">
    <w:abstractNumId w:val="81"/>
  </w:num>
  <w:num w:numId="34">
    <w:abstractNumId w:val="59"/>
  </w:num>
  <w:num w:numId="35">
    <w:abstractNumId w:val="74"/>
  </w:num>
  <w:num w:numId="36">
    <w:abstractNumId w:val="84"/>
  </w:num>
  <w:num w:numId="37">
    <w:abstractNumId w:val="10"/>
  </w:num>
  <w:num w:numId="38">
    <w:abstractNumId w:val="90"/>
  </w:num>
  <w:num w:numId="39">
    <w:abstractNumId w:val="4"/>
  </w:num>
  <w:num w:numId="40">
    <w:abstractNumId w:val="93"/>
  </w:num>
  <w:num w:numId="41">
    <w:abstractNumId w:val="31"/>
  </w:num>
  <w:num w:numId="42">
    <w:abstractNumId w:val="96"/>
  </w:num>
  <w:num w:numId="43">
    <w:abstractNumId w:val="52"/>
  </w:num>
  <w:num w:numId="44">
    <w:abstractNumId w:val="42"/>
  </w:num>
  <w:num w:numId="45">
    <w:abstractNumId w:val="64"/>
  </w:num>
  <w:num w:numId="46">
    <w:abstractNumId w:val="108"/>
  </w:num>
  <w:num w:numId="47">
    <w:abstractNumId w:val="34"/>
  </w:num>
  <w:num w:numId="48">
    <w:abstractNumId w:val="86"/>
  </w:num>
  <w:num w:numId="49">
    <w:abstractNumId w:val="100"/>
  </w:num>
  <w:num w:numId="50">
    <w:abstractNumId w:val="6"/>
  </w:num>
  <w:num w:numId="51">
    <w:abstractNumId w:val="18"/>
  </w:num>
  <w:num w:numId="52">
    <w:abstractNumId w:val="39"/>
  </w:num>
  <w:num w:numId="53">
    <w:abstractNumId w:val="63"/>
  </w:num>
  <w:num w:numId="54">
    <w:abstractNumId w:val="29"/>
  </w:num>
  <w:num w:numId="55">
    <w:abstractNumId w:val="45"/>
  </w:num>
  <w:num w:numId="56">
    <w:abstractNumId w:val="70"/>
  </w:num>
  <w:num w:numId="57">
    <w:abstractNumId w:val="79"/>
  </w:num>
  <w:num w:numId="58">
    <w:abstractNumId w:val="47"/>
  </w:num>
  <w:num w:numId="59">
    <w:abstractNumId w:val="51"/>
  </w:num>
  <w:num w:numId="60">
    <w:abstractNumId w:val="13"/>
  </w:num>
  <w:num w:numId="61">
    <w:abstractNumId w:val="27"/>
  </w:num>
  <w:num w:numId="62">
    <w:abstractNumId w:val="24"/>
  </w:num>
  <w:num w:numId="63">
    <w:abstractNumId w:val="22"/>
  </w:num>
  <w:num w:numId="64">
    <w:abstractNumId w:val="57"/>
  </w:num>
  <w:num w:numId="65">
    <w:abstractNumId w:val="76"/>
  </w:num>
  <w:num w:numId="66">
    <w:abstractNumId w:val="26"/>
  </w:num>
  <w:num w:numId="67">
    <w:abstractNumId w:val="80"/>
  </w:num>
  <w:num w:numId="68">
    <w:abstractNumId w:val="85"/>
  </w:num>
  <w:num w:numId="69">
    <w:abstractNumId w:val="32"/>
  </w:num>
  <w:num w:numId="70">
    <w:abstractNumId w:val="82"/>
  </w:num>
  <w:num w:numId="71">
    <w:abstractNumId w:val="43"/>
  </w:num>
  <w:num w:numId="72">
    <w:abstractNumId w:val="97"/>
  </w:num>
  <w:num w:numId="73">
    <w:abstractNumId w:val="2"/>
  </w:num>
  <w:num w:numId="74">
    <w:abstractNumId w:val="75"/>
  </w:num>
  <w:num w:numId="75">
    <w:abstractNumId w:val="67"/>
  </w:num>
  <w:num w:numId="76">
    <w:abstractNumId w:val="36"/>
  </w:num>
  <w:num w:numId="77">
    <w:abstractNumId w:val="58"/>
  </w:num>
  <w:num w:numId="78">
    <w:abstractNumId w:val="1"/>
  </w:num>
  <w:num w:numId="79">
    <w:abstractNumId w:val="19"/>
  </w:num>
  <w:num w:numId="80">
    <w:abstractNumId w:val="72"/>
  </w:num>
  <w:num w:numId="81">
    <w:abstractNumId w:val="11"/>
  </w:num>
  <w:num w:numId="82">
    <w:abstractNumId w:val="77"/>
  </w:num>
  <w:num w:numId="83">
    <w:abstractNumId w:val="56"/>
  </w:num>
  <w:num w:numId="84">
    <w:abstractNumId w:val="89"/>
  </w:num>
  <w:num w:numId="85">
    <w:abstractNumId w:val="23"/>
  </w:num>
  <w:num w:numId="86">
    <w:abstractNumId w:val="12"/>
  </w:num>
  <w:num w:numId="87">
    <w:abstractNumId w:val="103"/>
  </w:num>
  <w:num w:numId="88">
    <w:abstractNumId w:val="113"/>
  </w:num>
  <w:num w:numId="89">
    <w:abstractNumId w:val="112"/>
  </w:num>
  <w:num w:numId="90">
    <w:abstractNumId w:val="101"/>
  </w:num>
  <w:num w:numId="91">
    <w:abstractNumId w:val="21"/>
  </w:num>
  <w:num w:numId="92">
    <w:abstractNumId w:val="28"/>
  </w:num>
  <w:num w:numId="93">
    <w:abstractNumId w:val="91"/>
  </w:num>
  <w:num w:numId="94">
    <w:abstractNumId w:val="107"/>
  </w:num>
  <w:num w:numId="95">
    <w:abstractNumId w:val="50"/>
  </w:num>
  <w:num w:numId="96">
    <w:abstractNumId w:val="95"/>
  </w:num>
  <w:num w:numId="97">
    <w:abstractNumId w:val="41"/>
  </w:num>
  <w:num w:numId="98">
    <w:abstractNumId w:val="48"/>
  </w:num>
  <w:num w:numId="99">
    <w:abstractNumId w:val="14"/>
  </w:num>
  <w:num w:numId="100">
    <w:abstractNumId w:val="25"/>
  </w:num>
  <w:num w:numId="101">
    <w:abstractNumId w:val="55"/>
  </w:num>
  <w:num w:numId="102">
    <w:abstractNumId w:val="68"/>
  </w:num>
  <w:num w:numId="103">
    <w:abstractNumId w:val="102"/>
  </w:num>
  <w:num w:numId="104">
    <w:abstractNumId w:val="53"/>
  </w:num>
  <w:num w:numId="105">
    <w:abstractNumId w:val="98"/>
  </w:num>
  <w:num w:numId="106">
    <w:abstractNumId w:val="66"/>
  </w:num>
  <w:num w:numId="107">
    <w:abstractNumId w:val="111"/>
  </w:num>
  <w:num w:numId="108">
    <w:abstractNumId w:val="65"/>
  </w:num>
  <w:num w:numId="109">
    <w:abstractNumId w:val="8"/>
  </w:num>
  <w:num w:numId="110">
    <w:abstractNumId w:val="35"/>
  </w:num>
  <w:num w:numId="111">
    <w:abstractNumId w:val="49"/>
  </w:num>
  <w:num w:numId="112">
    <w:abstractNumId w:val="78"/>
  </w:num>
  <w:num w:numId="113">
    <w:abstractNumId w:val="0"/>
  </w:num>
  <w:num w:numId="114">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56"/>
    <w:rsid w:val="00007448"/>
    <w:rsid w:val="00007A42"/>
    <w:rsid w:val="00011301"/>
    <w:rsid w:val="000119C4"/>
    <w:rsid w:val="00020F31"/>
    <w:rsid w:val="00025A60"/>
    <w:rsid w:val="00026668"/>
    <w:rsid w:val="00031AED"/>
    <w:rsid w:val="00033CE6"/>
    <w:rsid w:val="000378F6"/>
    <w:rsid w:val="00046785"/>
    <w:rsid w:val="0006359C"/>
    <w:rsid w:val="00071085"/>
    <w:rsid w:val="0007194A"/>
    <w:rsid w:val="00073B4D"/>
    <w:rsid w:val="00094A84"/>
    <w:rsid w:val="000A1195"/>
    <w:rsid w:val="000A5C8D"/>
    <w:rsid w:val="000A62CE"/>
    <w:rsid w:val="000A7581"/>
    <w:rsid w:val="000B0237"/>
    <w:rsid w:val="000B5EDA"/>
    <w:rsid w:val="000B7CC4"/>
    <w:rsid w:val="000C6377"/>
    <w:rsid w:val="000C7192"/>
    <w:rsid w:val="000D3010"/>
    <w:rsid w:val="000D372F"/>
    <w:rsid w:val="000D7548"/>
    <w:rsid w:val="000D7C99"/>
    <w:rsid w:val="000E2447"/>
    <w:rsid w:val="000E256A"/>
    <w:rsid w:val="000E6040"/>
    <w:rsid w:val="000E6843"/>
    <w:rsid w:val="000F315D"/>
    <w:rsid w:val="00101047"/>
    <w:rsid w:val="001028CC"/>
    <w:rsid w:val="0010487C"/>
    <w:rsid w:val="0010760B"/>
    <w:rsid w:val="00115903"/>
    <w:rsid w:val="00116417"/>
    <w:rsid w:val="00116677"/>
    <w:rsid w:val="001247A7"/>
    <w:rsid w:val="00140C4A"/>
    <w:rsid w:val="00141DC1"/>
    <w:rsid w:val="00143935"/>
    <w:rsid w:val="0014573B"/>
    <w:rsid w:val="00147838"/>
    <w:rsid w:val="001501A7"/>
    <w:rsid w:val="001528EA"/>
    <w:rsid w:val="00153A85"/>
    <w:rsid w:val="00154825"/>
    <w:rsid w:val="00154B81"/>
    <w:rsid w:val="00155065"/>
    <w:rsid w:val="00156F6B"/>
    <w:rsid w:val="001651CA"/>
    <w:rsid w:val="00166B7E"/>
    <w:rsid w:val="00170F56"/>
    <w:rsid w:val="0017723B"/>
    <w:rsid w:val="001810FD"/>
    <w:rsid w:val="001817F2"/>
    <w:rsid w:val="0018220B"/>
    <w:rsid w:val="001851A9"/>
    <w:rsid w:val="00186F9A"/>
    <w:rsid w:val="00191B90"/>
    <w:rsid w:val="00196D9C"/>
    <w:rsid w:val="001A1E7E"/>
    <w:rsid w:val="001A3E66"/>
    <w:rsid w:val="001A5D7C"/>
    <w:rsid w:val="001B64DB"/>
    <w:rsid w:val="001C09D7"/>
    <w:rsid w:val="001C67B9"/>
    <w:rsid w:val="001D0469"/>
    <w:rsid w:val="001D2789"/>
    <w:rsid w:val="001D28FE"/>
    <w:rsid w:val="001D5FD0"/>
    <w:rsid w:val="0020662D"/>
    <w:rsid w:val="00207E25"/>
    <w:rsid w:val="002103D1"/>
    <w:rsid w:val="00210F45"/>
    <w:rsid w:val="00215FA2"/>
    <w:rsid w:val="00216EFF"/>
    <w:rsid w:val="00222595"/>
    <w:rsid w:val="00222A99"/>
    <w:rsid w:val="002234EA"/>
    <w:rsid w:val="0023081F"/>
    <w:rsid w:val="002412D5"/>
    <w:rsid w:val="002534B0"/>
    <w:rsid w:val="00254852"/>
    <w:rsid w:val="002551B6"/>
    <w:rsid w:val="00255B5F"/>
    <w:rsid w:val="00257632"/>
    <w:rsid w:val="0026015D"/>
    <w:rsid w:val="00261B32"/>
    <w:rsid w:val="002665B0"/>
    <w:rsid w:val="00267DB3"/>
    <w:rsid w:val="00270081"/>
    <w:rsid w:val="0028569E"/>
    <w:rsid w:val="00285B9E"/>
    <w:rsid w:val="00293372"/>
    <w:rsid w:val="00296965"/>
    <w:rsid w:val="002969D0"/>
    <w:rsid w:val="002A0A6D"/>
    <w:rsid w:val="002A271B"/>
    <w:rsid w:val="002A2744"/>
    <w:rsid w:val="002B521A"/>
    <w:rsid w:val="002C0770"/>
    <w:rsid w:val="002C506C"/>
    <w:rsid w:val="002C5ED4"/>
    <w:rsid w:val="002C7959"/>
    <w:rsid w:val="002D3040"/>
    <w:rsid w:val="002D4EE5"/>
    <w:rsid w:val="002D5480"/>
    <w:rsid w:val="002D7928"/>
    <w:rsid w:val="002D7A78"/>
    <w:rsid w:val="002D7FE2"/>
    <w:rsid w:val="002E14E5"/>
    <w:rsid w:val="002E2C1B"/>
    <w:rsid w:val="002E3B08"/>
    <w:rsid w:val="002E5E8A"/>
    <w:rsid w:val="002F6500"/>
    <w:rsid w:val="002F70B9"/>
    <w:rsid w:val="003040B8"/>
    <w:rsid w:val="0030497E"/>
    <w:rsid w:val="00305859"/>
    <w:rsid w:val="00306D06"/>
    <w:rsid w:val="00307F3F"/>
    <w:rsid w:val="00312075"/>
    <w:rsid w:val="00312672"/>
    <w:rsid w:val="00313493"/>
    <w:rsid w:val="00315D14"/>
    <w:rsid w:val="00320F3F"/>
    <w:rsid w:val="00323E16"/>
    <w:rsid w:val="00324F7C"/>
    <w:rsid w:val="003258EC"/>
    <w:rsid w:val="00332E8F"/>
    <w:rsid w:val="0034113D"/>
    <w:rsid w:val="003461F3"/>
    <w:rsid w:val="0034736B"/>
    <w:rsid w:val="00351378"/>
    <w:rsid w:val="00354143"/>
    <w:rsid w:val="00355AEF"/>
    <w:rsid w:val="00360996"/>
    <w:rsid w:val="00367A7F"/>
    <w:rsid w:val="00372F73"/>
    <w:rsid w:val="003738D2"/>
    <w:rsid w:val="00374D2A"/>
    <w:rsid w:val="00376D36"/>
    <w:rsid w:val="00384BBB"/>
    <w:rsid w:val="00385B31"/>
    <w:rsid w:val="00387939"/>
    <w:rsid w:val="00391934"/>
    <w:rsid w:val="003A1210"/>
    <w:rsid w:val="003A234F"/>
    <w:rsid w:val="003A4934"/>
    <w:rsid w:val="003A74C0"/>
    <w:rsid w:val="003A7C5F"/>
    <w:rsid w:val="003B20B0"/>
    <w:rsid w:val="003B5139"/>
    <w:rsid w:val="003C25F3"/>
    <w:rsid w:val="003C68BA"/>
    <w:rsid w:val="003D05E2"/>
    <w:rsid w:val="003D1A9C"/>
    <w:rsid w:val="003D72AD"/>
    <w:rsid w:val="003D7BB1"/>
    <w:rsid w:val="003E76EB"/>
    <w:rsid w:val="003F0C84"/>
    <w:rsid w:val="003F0F6B"/>
    <w:rsid w:val="003F1CAF"/>
    <w:rsid w:val="003F3A80"/>
    <w:rsid w:val="003F3BD8"/>
    <w:rsid w:val="004029DA"/>
    <w:rsid w:val="00404809"/>
    <w:rsid w:val="0040553F"/>
    <w:rsid w:val="004327D4"/>
    <w:rsid w:val="004342A5"/>
    <w:rsid w:val="0043499B"/>
    <w:rsid w:val="004357D6"/>
    <w:rsid w:val="00442B90"/>
    <w:rsid w:val="00443819"/>
    <w:rsid w:val="004457B1"/>
    <w:rsid w:val="00453EB6"/>
    <w:rsid w:val="00456A5C"/>
    <w:rsid w:val="004629F5"/>
    <w:rsid w:val="004648FA"/>
    <w:rsid w:val="00467E81"/>
    <w:rsid w:val="00475847"/>
    <w:rsid w:val="00476FB9"/>
    <w:rsid w:val="00484B74"/>
    <w:rsid w:val="00485159"/>
    <w:rsid w:val="00485D09"/>
    <w:rsid w:val="00493565"/>
    <w:rsid w:val="00494488"/>
    <w:rsid w:val="00496714"/>
    <w:rsid w:val="00497D15"/>
    <w:rsid w:val="004A354E"/>
    <w:rsid w:val="004A433B"/>
    <w:rsid w:val="004A7138"/>
    <w:rsid w:val="004B1FC1"/>
    <w:rsid w:val="004B2E06"/>
    <w:rsid w:val="004B4204"/>
    <w:rsid w:val="004B656B"/>
    <w:rsid w:val="004C1552"/>
    <w:rsid w:val="004D46B3"/>
    <w:rsid w:val="004D591B"/>
    <w:rsid w:val="004D7449"/>
    <w:rsid w:val="004E06C3"/>
    <w:rsid w:val="004E3982"/>
    <w:rsid w:val="004E3DAF"/>
    <w:rsid w:val="004E51BC"/>
    <w:rsid w:val="004F4B2F"/>
    <w:rsid w:val="004F52D7"/>
    <w:rsid w:val="0050183D"/>
    <w:rsid w:val="00504C3B"/>
    <w:rsid w:val="00504D97"/>
    <w:rsid w:val="00507168"/>
    <w:rsid w:val="00512D19"/>
    <w:rsid w:val="005132F5"/>
    <w:rsid w:val="005134CC"/>
    <w:rsid w:val="00514FF6"/>
    <w:rsid w:val="00516532"/>
    <w:rsid w:val="0052437B"/>
    <w:rsid w:val="00525ADA"/>
    <w:rsid w:val="00526401"/>
    <w:rsid w:val="005277CF"/>
    <w:rsid w:val="00527D66"/>
    <w:rsid w:val="005322EF"/>
    <w:rsid w:val="00543CFC"/>
    <w:rsid w:val="00545E1C"/>
    <w:rsid w:val="00546E89"/>
    <w:rsid w:val="005478DD"/>
    <w:rsid w:val="005560DD"/>
    <w:rsid w:val="00561DB0"/>
    <w:rsid w:val="00564DEA"/>
    <w:rsid w:val="005710F5"/>
    <w:rsid w:val="00582E3B"/>
    <w:rsid w:val="005869B0"/>
    <w:rsid w:val="00594F2A"/>
    <w:rsid w:val="005A0627"/>
    <w:rsid w:val="005A1044"/>
    <w:rsid w:val="005A2AE6"/>
    <w:rsid w:val="005B45E0"/>
    <w:rsid w:val="005C62B0"/>
    <w:rsid w:val="005D2CD5"/>
    <w:rsid w:val="005D3092"/>
    <w:rsid w:val="005D6C2A"/>
    <w:rsid w:val="005E185F"/>
    <w:rsid w:val="005F11DB"/>
    <w:rsid w:val="005F1572"/>
    <w:rsid w:val="005F5015"/>
    <w:rsid w:val="005F792D"/>
    <w:rsid w:val="0060185B"/>
    <w:rsid w:val="006022D3"/>
    <w:rsid w:val="006026D3"/>
    <w:rsid w:val="00602C1A"/>
    <w:rsid w:val="006046DA"/>
    <w:rsid w:val="00612802"/>
    <w:rsid w:val="0061719F"/>
    <w:rsid w:val="006246AF"/>
    <w:rsid w:val="006369D1"/>
    <w:rsid w:val="006379ED"/>
    <w:rsid w:val="00641254"/>
    <w:rsid w:val="0064277E"/>
    <w:rsid w:val="00661584"/>
    <w:rsid w:val="00666FBA"/>
    <w:rsid w:val="00672D48"/>
    <w:rsid w:val="00682168"/>
    <w:rsid w:val="00686F66"/>
    <w:rsid w:val="00693C41"/>
    <w:rsid w:val="0069434C"/>
    <w:rsid w:val="006951AD"/>
    <w:rsid w:val="0069606A"/>
    <w:rsid w:val="006A566B"/>
    <w:rsid w:val="006A6755"/>
    <w:rsid w:val="006A6AE2"/>
    <w:rsid w:val="006B0128"/>
    <w:rsid w:val="006B64BD"/>
    <w:rsid w:val="006C066E"/>
    <w:rsid w:val="006C6815"/>
    <w:rsid w:val="006D0EB6"/>
    <w:rsid w:val="006D4D62"/>
    <w:rsid w:val="006E2F3B"/>
    <w:rsid w:val="006E56C3"/>
    <w:rsid w:val="006E6342"/>
    <w:rsid w:val="006E6482"/>
    <w:rsid w:val="006F0EF7"/>
    <w:rsid w:val="006F3F68"/>
    <w:rsid w:val="006F5ED4"/>
    <w:rsid w:val="006F61FF"/>
    <w:rsid w:val="007037DC"/>
    <w:rsid w:val="0070727A"/>
    <w:rsid w:val="00713862"/>
    <w:rsid w:val="0071406A"/>
    <w:rsid w:val="007149BF"/>
    <w:rsid w:val="00717F65"/>
    <w:rsid w:val="00723EF6"/>
    <w:rsid w:val="00732201"/>
    <w:rsid w:val="00735E13"/>
    <w:rsid w:val="007468E3"/>
    <w:rsid w:val="00746BD5"/>
    <w:rsid w:val="00750313"/>
    <w:rsid w:val="00751DE7"/>
    <w:rsid w:val="007524B8"/>
    <w:rsid w:val="00752BE6"/>
    <w:rsid w:val="00753CDC"/>
    <w:rsid w:val="00755532"/>
    <w:rsid w:val="007565D6"/>
    <w:rsid w:val="00757116"/>
    <w:rsid w:val="00760835"/>
    <w:rsid w:val="00765FAC"/>
    <w:rsid w:val="0077056D"/>
    <w:rsid w:val="00771A1C"/>
    <w:rsid w:val="00775D3F"/>
    <w:rsid w:val="00777DB3"/>
    <w:rsid w:val="00792EF7"/>
    <w:rsid w:val="007A05F9"/>
    <w:rsid w:val="007B147C"/>
    <w:rsid w:val="007B2572"/>
    <w:rsid w:val="007B31BB"/>
    <w:rsid w:val="007B51AD"/>
    <w:rsid w:val="007B6D18"/>
    <w:rsid w:val="007C1E42"/>
    <w:rsid w:val="007D58AF"/>
    <w:rsid w:val="007E3507"/>
    <w:rsid w:val="007E43BF"/>
    <w:rsid w:val="007E471B"/>
    <w:rsid w:val="007E541F"/>
    <w:rsid w:val="007E6846"/>
    <w:rsid w:val="007F28A0"/>
    <w:rsid w:val="007F73B1"/>
    <w:rsid w:val="008035C0"/>
    <w:rsid w:val="00803D55"/>
    <w:rsid w:val="0080711D"/>
    <w:rsid w:val="00807D32"/>
    <w:rsid w:val="008109F2"/>
    <w:rsid w:val="00814482"/>
    <w:rsid w:val="0082109A"/>
    <w:rsid w:val="008269EF"/>
    <w:rsid w:val="00826A8B"/>
    <w:rsid w:val="008322DA"/>
    <w:rsid w:val="00832EA5"/>
    <w:rsid w:val="0083336A"/>
    <w:rsid w:val="0083547C"/>
    <w:rsid w:val="008355FF"/>
    <w:rsid w:val="00836729"/>
    <w:rsid w:val="00837BCD"/>
    <w:rsid w:val="00841008"/>
    <w:rsid w:val="00845BDB"/>
    <w:rsid w:val="00851E47"/>
    <w:rsid w:val="00852D99"/>
    <w:rsid w:val="0085648B"/>
    <w:rsid w:val="00857928"/>
    <w:rsid w:val="00876452"/>
    <w:rsid w:val="00877D02"/>
    <w:rsid w:val="00880BEB"/>
    <w:rsid w:val="00884B9A"/>
    <w:rsid w:val="00886BE3"/>
    <w:rsid w:val="008927CB"/>
    <w:rsid w:val="00895EEB"/>
    <w:rsid w:val="008A134E"/>
    <w:rsid w:val="008A2E28"/>
    <w:rsid w:val="008A3106"/>
    <w:rsid w:val="008A48A9"/>
    <w:rsid w:val="008A4FC5"/>
    <w:rsid w:val="008A6B28"/>
    <w:rsid w:val="008B688B"/>
    <w:rsid w:val="008B6934"/>
    <w:rsid w:val="008C3B67"/>
    <w:rsid w:val="008D18FB"/>
    <w:rsid w:val="008D6366"/>
    <w:rsid w:val="008D72F4"/>
    <w:rsid w:val="008E30AF"/>
    <w:rsid w:val="008E32B8"/>
    <w:rsid w:val="008E41C3"/>
    <w:rsid w:val="008E45D8"/>
    <w:rsid w:val="008E6A46"/>
    <w:rsid w:val="008F330D"/>
    <w:rsid w:val="008F55A2"/>
    <w:rsid w:val="008F55D1"/>
    <w:rsid w:val="00900813"/>
    <w:rsid w:val="009023A0"/>
    <w:rsid w:val="00903C68"/>
    <w:rsid w:val="00905FCB"/>
    <w:rsid w:val="00907FBA"/>
    <w:rsid w:val="00914DC3"/>
    <w:rsid w:val="00915556"/>
    <w:rsid w:val="009176D8"/>
    <w:rsid w:val="00924E51"/>
    <w:rsid w:val="00925F8C"/>
    <w:rsid w:val="00930849"/>
    <w:rsid w:val="0093150B"/>
    <w:rsid w:val="009325CA"/>
    <w:rsid w:val="009353E4"/>
    <w:rsid w:val="00935EA1"/>
    <w:rsid w:val="009379B1"/>
    <w:rsid w:val="00937CD7"/>
    <w:rsid w:val="00952EBD"/>
    <w:rsid w:val="0095345B"/>
    <w:rsid w:val="0095416F"/>
    <w:rsid w:val="009544D7"/>
    <w:rsid w:val="0095592F"/>
    <w:rsid w:val="00965B08"/>
    <w:rsid w:val="00965C6E"/>
    <w:rsid w:val="009704A8"/>
    <w:rsid w:val="00981C19"/>
    <w:rsid w:val="00991A31"/>
    <w:rsid w:val="00996EDE"/>
    <w:rsid w:val="009A0773"/>
    <w:rsid w:val="009A2958"/>
    <w:rsid w:val="009A4A8D"/>
    <w:rsid w:val="009B05D8"/>
    <w:rsid w:val="009B44D9"/>
    <w:rsid w:val="009B6DA2"/>
    <w:rsid w:val="009C19C4"/>
    <w:rsid w:val="009C3EC5"/>
    <w:rsid w:val="009C4808"/>
    <w:rsid w:val="009D2BB5"/>
    <w:rsid w:val="009E1542"/>
    <w:rsid w:val="009E78E0"/>
    <w:rsid w:val="009E79A5"/>
    <w:rsid w:val="009F12A0"/>
    <w:rsid w:val="009F66CB"/>
    <w:rsid w:val="009F743D"/>
    <w:rsid w:val="00A0163A"/>
    <w:rsid w:val="00A027BF"/>
    <w:rsid w:val="00A03BC7"/>
    <w:rsid w:val="00A06CA8"/>
    <w:rsid w:val="00A11660"/>
    <w:rsid w:val="00A12A52"/>
    <w:rsid w:val="00A157D8"/>
    <w:rsid w:val="00A21331"/>
    <w:rsid w:val="00A3260D"/>
    <w:rsid w:val="00A36B58"/>
    <w:rsid w:val="00A36EAA"/>
    <w:rsid w:val="00A43707"/>
    <w:rsid w:val="00A44B7C"/>
    <w:rsid w:val="00A45112"/>
    <w:rsid w:val="00A4690F"/>
    <w:rsid w:val="00A46F7B"/>
    <w:rsid w:val="00A50AEE"/>
    <w:rsid w:val="00A61BF1"/>
    <w:rsid w:val="00A706AD"/>
    <w:rsid w:val="00A8186C"/>
    <w:rsid w:val="00A84020"/>
    <w:rsid w:val="00A84D08"/>
    <w:rsid w:val="00AA063A"/>
    <w:rsid w:val="00AA2993"/>
    <w:rsid w:val="00AB10C2"/>
    <w:rsid w:val="00AB6036"/>
    <w:rsid w:val="00AB7EE9"/>
    <w:rsid w:val="00AD0F53"/>
    <w:rsid w:val="00AD68A8"/>
    <w:rsid w:val="00AE2DBC"/>
    <w:rsid w:val="00AF5F9C"/>
    <w:rsid w:val="00B00FE1"/>
    <w:rsid w:val="00B02D6A"/>
    <w:rsid w:val="00B23594"/>
    <w:rsid w:val="00B322FA"/>
    <w:rsid w:val="00B40FF6"/>
    <w:rsid w:val="00B41220"/>
    <w:rsid w:val="00B42457"/>
    <w:rsid w:val="00B43016"/>
    <w:rsid w:val="00B43190"/>
    <w:rsid w:val="00B503ED"/>
    <w:rsid w:val="00B54E0C"/>
    <w:rsid w:val="00B61D09"/>
    <w:rsid w:val="00B62DDD"/>
    <w:rsid w:val="00B65161"/>
    <w:rsid w:val="00B67D48"/>
    <w:rsid w:val="00B800DA"/>
    <w:rsid w:val="00B854AA"/>
    <w:rsid w:val="00BA3C66"/>
    <w:rsid w:val="00BA3D2D"/>
    <w:rsid w:val="00BB084C"/>
    <w:rsid w:val="00BB1F04"/>
    <w:rsid w:val="00BB2BF7"/>
    <w:rsid w:val="00BB2C01"/>
    <w:rsid w:val="00BD13CF"/>
    <w:rsid w:val="00BD1698"/>
    <w:rsid w:val="00BD34CA"/>
    <w:rsid w:val="00BD4D2F"/>
    <w:rsid w:val="00BD5BE6"/>
    <w:rsid w:val="00BD636B"/>
    <w:rsid w:val="00BE024B"/>
    <w:rsid w:val="00BE33F5"/>
    <w:rsid w:val="00BF05C9"/>
    <w:rsid w:val="00BF24AA"/>
    <w:rsid w:val="00C00C36"/>
    <w:rsid w:val="00C01135"/>
    <w:rsid w:val="00C02E77"/>
    <w:rsid w:val="00C05D01"/>
    <w:rsid w:val="00C07A6E"/>
    <w:rsid w:val="00C12C01"/>
    <w:rsid w:val="00C20236"/>
    <w:rsid w:val="00C30CC8"/>
    <w:rsid w:val="00C31B93"/>
    <w:rsid w:val="00C44860"/>
    <w:rsid w:val="00C54872"/>
    <w:rsid w:val="00C62201"/>
    <w:rsid w:val="00C62C74"/>
    <w:rsid w:val="00C711D0"/>
    <w:rsid w:val="00C71429"/>
    <w:rsid w:val="00C818E5"/>
    <w:rsid w:val="00C92165"/>
    <w:rsid w:val="00C968D8"/>
    <w:rsid w:val="00CA4DAA"/>
    <w:rsid w:val="00CA5983"/>
    <w:rsid w:val="00CB16B9"/>
    <w:rsid w:val="00CB7F2E"/>
    <w:rsid w:val="00CD0CA9"/>
    <w:rsid w:val="00CD4B69"/>
    <w:rsid w:val="00CD4D0B"/>
    <w:rsid w:val="00CD59B6"/>
    <w:rsid w:val="00CE43DD"/>
    <w:rsid w:val="00CF11CD"/>
    <w:rsid w:val="00CF2E11"/>
    <w:rsid w:val="00CF3800"/>
    <w:rsid w:val="00CF3BD9"/>
    <w:rsid w:val="00CF6BF8"/>
    <w:rsid w:val="00D0232F"/>
    <w:rsid w:val="00D07DF1"/>
    <w:rsid w:val="00D12919"/>
    <w:rsid w:val="00D14B93"/>
    <w:rsid w:val="00D16700"/>
    <w:rsid w:val="00D2136D"/>
    <w:rsid w:val="00D21587"/>
    <w:rsid w:val="00D22B1A"/>
    <w:rsid w:val="00D231B2"/>
    <w:rsid w:val="00D249AB"/>
    <w:rsid w:val="00D24E20"/>
    <w:rsid w:val="00D321B9"/>
    <w:rsid w:val="00D331BB"/>
    <w:rsid w:val="00D353E2"/>
    <w:rsid w:val="00D442F5"/>
    <w:rsid w:val="00D45CAA"/>
    <w:rsid w:val="00D52892"/>
    <w:rsid w:val="00D61083"/>
    <w:rsid w:val="00D63103"/>
    <w:rsid w:val="00D64B66"/>
    <w:rsid w:val="00D7138D"/>
    <w:rsid w:val="00D8221D"/>
    <w:rsid w:val="00D83A61"/>
    <w:rsid w:val="00D90AEC"/>
    <w:rsid w:val="00D93A99"/>
    <w:rsid w:val="00D954AA"/>
    <w:rsid w:val="00D97ABA"/>
    <w:rsid w:val="00DA0653"/>
    <w:rsid w:val="00DB32FB"/>
    <w:rsid w:val="00DB42C6"/>
    <w:rsid w:val="00DC6314"/>
    <w:rsid w:val="00DD1FE9"/>
    <w:rsid w:val="00DD2EF5"/>
    <w:rsid w:val="00DD4B2F"/>
    <w:rsid w:val="00DD59F9"/>
    <w:rsid w:val="00DD73A3"/>
    <w:rsid w:val="00DE1EF9"/>
    <w:rsid w:val="00DE3B9C"/>
    <w:rsid w:val="00DF0259"/>
    <w:rsid w:val="00DF1335"/>
    <w:rsid w:val="00E04EBF"/>
    <w:rsid w:val="00E06723"/>
    <w:rsid w:val="00E06DB7"/>
    <w:rsid w:val="00E15037"/>
    <w:rsid w:val="00E163BB"/>
    <w:rsid w:val="00E1664D"/>
    <w:rsid w:val="00E169EE"/>
    <w:rsid w:val="00E2246F"/>
    <w:rsid w:val="00E26F38"/>
    <w:rsid w:val="00E27106"/>
    <w:rsid w:val="00E3167F"/>
    <w:rsid w:val="00E31FF7"/>
    <w:rsid w:val="00E32E93"/>
    <w:rsid w:val="00E34B51"/>
    <w:rsid w:val="00E446BF"/>
    <w:rsid w:val="00E453A6"/>
    <w:rsid w:val="00E46851"/>
    <w:rsid w:val="00E55256"/>
    <w:rsid w:val="00E65652"/>
    <w:rsid w:val="00E66824"/>
    <w:rsid w:val="00E72463"/>
    <w:rsid w:val="00E739CE"/>
    <w:rsid w:val="00E73AE4"/>
    <w:rsid w:val="00E7649F"/>
    <w:rsid w:val="00E914D9"/>
    <w:rsid w:val="00EA14B8"/>
    <w:rsid w:val="00EA28F8"/>
    <w:rsid w:val="00EB1F24"/>
    <w:rsid w:val="00EC1264"/>
    <w:rsid w:val="00EC2976"/>
    <w:rsid w:val="00EC4CDE"/>
    <w:rsid w:val="00ED0027"/>
    <w:rsid w:val="00ED069F"/>
    <w:rsid w:val="00ED4AF9"/>
    <w:rsid w:val="00EE6AEC"/>
    <w:rsid w:val="00EF0540"/>
    <w:rsid w:val="00EF0AF7"/>
    <w:rsid w:val="00EF2BB0"/>
    <w:rsid w:val="00EF6C44"/>
    <w:rsid w:val="00F01078"/>
    <w:rsid w:val="00F04BFF"/>
    <w:rsid w:val="00F058C3"/>
    <w:rsid w:val="00F11BE1"/>
    <w:rsid w:val="00F1473B"/>
    <w:rsid w:val="00F226D8"/>
    <w:rsid w:val="00F232A1"/>
    <w:rsid w:val="00F423E3"/>
    <w:rsid w:val="00F4311A"/>
    <w:rsid w:val="00F4676B"/>
    <w:rsid w:val="00F50ECC"/>
    <w:rsid w:val="00F56686"/>
    <w:rsid w:val="00F572FB"/>
    <w:rsid w:val="00F61219"/>
    <w:rsid w:val="00F629F7"/>
    <w:rsid w:val="00F635DA"/>
    <w:rsid w:val="00F6423A"/>
    <w:rsid w:val="00F66ABC"/>
    <w:rsid w:val="00F71EE0"/>
    <w:rsid w:val="00F740A5"/>
    <w:rsid w:val="00F744ED"/>
    <w:rsid w:val="00F83723"/>
    <w:rsid w:val="00F84E21"/>
    <w:rsid w:val="00F8646F"/>
    <w:rsid w:val="00F86CD0"/>
    <w:rsid w:val="00F92EEE"/>
    <w:rsid w:val="00F95B18"/>
    <w:rsid w:val="00FA5D26"/>
    <w:rsid w:val="00FA6B28"/>
    <w:rsid w:val="00FB35F5"/>
    <w:rsid w:val="00FB5EA0"/>
    <w:rsid w:val="00FB6519"/>
    <w:rsid w:val="00FB7CC3"/>
    <w:rsid w:val="00FC4E17"/>
    <w:rsid w:val="00FC53B3"/>
    <w:rsid w:val="00FD3F07"/>
    <w:rsid w:val="00FD5472"/>
    <w:rsid w:val="00FD5962"/>
    <w:rsid w:val="00FE15FA"/>
    <w:rsid w:val="00FE4900"/>
    <w:rsid w:val="00FF036B"/>
    <w:rsid w:val="00FF0684"/>
    <w:rsid w:val="00FF24EB"/>
    <w:rsid w:val="00FF2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EEA00-DDC5-46B4-976B-C5017A08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150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5556"/>
    <w:pPr>
      <w:widowControl w:val="0"/>
    </w:pPr>
    <w:rPr>
      <w:rFonts w:ascii="Calibri"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5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555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915556"/>
    <w:pPr>
      <w:tabs>
        <w:tab w:val="center" w:pos="4153"/>
        <w:tab w:val="right" w:pos="8306"/>
      </w:tabs>
      <w:snapToGrid w:val="0"/>
    </w:pPr>
    <w:rPr>
      <w:sz w:val="20"/>
      <w:szCs w:val="20"/>
    </w:rPr>
  </w:style>
  <w:style w:type="character" w:customStyle="1" w:styleId="a7">
    <w:name w:val="頁首 字元"/>
    <w:basedOn w:val="a0"/>
    <w:link w:val="a6"/>
    <w:uiPriority w:val="99"/>
    <w:rsid w:val="00915556"/>
    <w:rPr>
      <w:rFonts w:ascii="Calibri" w:hAnsi="Calibri" w:cs="Calibri"/>
      <w:color w:val="000000"/>
      <w:kern w:val="0"/>
      <w:sz w:val="20"/>
      <w:szCs w:val="20"/>
    </w:rPr>
  </w:style>
  <w:style w:type="paragraph" w:styleId="a8">
    <w:name w:val="footer"/>
    <w:basedOn w:val="a"/>
    <w:link w:val="a9"/>
    <w:uiPriority w:val="99"/>
    <w:unhideWhenUsed/>
    <w:rsid w:val="00915556"/>
    <w:pPr>
      <w:tabs>
        <w:tab w:val="center" w:pos="4153"/>
        <w:tab w:val="right" w:pos="8306"/>
      </w:tabs>
      <w:snapToGrid w:val="0"/>
    </w:pPr>
    <w:rPr>
      <w:sz w:val="20"/>
      <w:szCs w:val="20"/>
    </w:rPr>
  </w:style>
  <w:style w:type="character" w:customStyle="1" w:styleId="a9">
    <w:name w:val="頁尾 字元"/>
    <w:basedOn w:val="a0"/>
    <w:link w:val="a8"/>
    <w:uiPriority w:val="99"/>
    <w:rsid w:val="00915556"/>
    <w:rPr>
      <w:rFonts w:ascii="Calibri" w:hAnsi="Calibri" w:cs="Calibri"/>
      <w:color w:val="000000"/>
      <w:kern w:val="0"/>
      <w:sz w:val="20"/>
      <w:szCs w:val="20"/>
    </w:rPr>
  </w:style>
  <w:style w:type="paragraph" w:customStyle="1" w:styleId="aa">
    <w:name w:val="項次"/>
    <w:basedOn w:val="a"/>
    <w:link w:val="ab"/>
    <w:qFormat/>
    <w:rsid w:val="00845BDB"/>
    <w:pPr>
      <w:ind w:leftChars="100" w:left="240" w:firstLineChars="200" w:firstLine="480"/>
      <w:jc w:val="both"/>
    </w:pPr>
    <w:rPr>
      <w:rFonts w:ascii="標楷體" w:eastAsia="標楷體" w:hAnsi="標楷體" w:cs="Times New Roman"/>
      <w:color w:val="auto"/>
      <w:szCs w:val="20"/>
    </w:rPr>
  </w:style>
  <w:style w:type="character" w:customStyle="1" w:styleId="ab">
    <w:name w:val="項次 字元"/>
    <w:link w:val="aa"/>
    <w:rsid w:val="00845BDB"/>
    <w:rPr>
      <w:rFonts w:ascii="標楷體" w:eastAsia="標楷體" w:hAnsi="標楷體" w:cs="Times New Roman"/>
      <w:kern w:val="0"/>
      <w:szCs w:val="20"/>
    </w:rPr>
  </w:style>
  <w:style w:type="paragraph" w:styleId="ac">
    <w:name w:val="List Paragraph"/>
    <w:basedOn w:val="a"/>
    <w:uiPriority w:val="34"/>
    <w:qFormat/>
    <w:rsid w:val="00FD54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9C38F-3A21-48E8-912E-84DDD382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法律事務處治理法律事務科吳宜倫</dc:creator>
  <cp:lastModifiedBy>何垂芬(法務)</cp:lastModifiedBy>
  <cp:revision>3</cp:revision>
  <cp:lastPrinted>2017-11-13T02:07:00Z</cp:lastPrinted>
  <dcterms:created xsi:type="dcterms:W3CDTF">2019-06-27T01:02:00Z</dcterms:created>
  <dcterms:modified xsi:type="dcterms:W3CDTF">2019-06-27T01:03:00Z</dcterms:modified>
</cp:coreProperties>
</file>