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7" w:rsidRPr="003D2149" w:rsidRDefault="00ED1507" w:rsidP="00ED150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D2149">
        <w:rPr>
          <w:rFonts w:ascii="標楷體" w:eastAsia="標楷體" w:hAnsi="標楷體" w:hint="eastAsia"/>
          <w:b/>
          <w:sz w:val="32"/>
          <w:szCs w:val="32"/>
        </w:rPr>
        <w:t>委託研究計畫研究主題及其重點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954"/>
      </w:tblGrid>
      <w:tr w:rsidR="00B33AB7" w:rsidRPr="00B33AB7" w:rsidTr="003A5F5F">
        <w:tc>
          <w:tcPr>
            <w:tcW w:w="2376" w:type="dxa"/>
          </w:tcPr>
          <w:p w:rsidR="00B33AB7" w:rsidRPr="0099573B" w:rsidRDefault="00B33AB7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5954" w:type="dxa"/>
          </w:tcPr>
          <w:p w:rsidR="00B33AB7" w:rsidRPr="00405702" w:rsidRDefault="002C6F6A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新興媒體內容</w:t>
            </w:r>
            <w:r w:rsidR="00703050">
              <w:rPr>
                <w:rFonts w:ascii="標楷體" w:eastAsia="標楷體" w:hAnsi="標楷體" w:hint="eastAsia"/>
                <w:sz w:val="28"/>
                <w:szCs w:val="28"/>
              </w:rPr>
              <w:t>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理架構之探討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7B1095" w:rsidRPr="0099573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5954" w:type="dxa"/>
          </w:tcPr>
          <w:p w:rsidR="00B33AB7" w:rsidRPr="0099573B" w:rsidRDefault="00405702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13B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55B80" w:rsidRPr="009957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承辦計畫單位</w:t>
            </w:r>
          </w:p>
        </w:tc>
        <w:tc>
          <w:tcPr>
            <w:tcW w:w="5954" w:type="dxa"/>
          </w:tcPr>
          <w:p w:rsidR="00B33AB7" w:rsidRPr="0099573B" w:rsidRDefault="00150D47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F54B49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="00755B80" w:rsidRPr="0099573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受委託研究機構</w:t>
            </w:r>
          </w:p>
        </w:tc>
        <w:tc>
          <w:tcPr>
            <w:tcW w:w="5954" w:type="dxa"/>
          </w:tcPr>
          <w:p w:rsidR="00B33AB7" w:rsidRPr="0099573B" w:rsidRDefault="002C6F6A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財團法人台灣經濟研究院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755B80" w:rsidRPr="0099573B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5954" w:type="dxa"/>
          </w:tcPr>
          <w:p w:rsidR="00B33AB7" w:rsidRPr="0099573B" w:rsidRDefault="002C6F6A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劉柏立  所長</w:t>
            </w:r>
          </w:p>
        </w:tc>
      </w:tr>
      <w:tr w:rsidR="00B33AB7" w:rsidRPr="00405702" w:rsidTr="003A5F5F">
        <w:tc>
          <w:tcPr>
            <w:tcW w:w="2376" w:type="dxa"/>
          </w:tcPr>
          <w:p w:rsidR="00B33AB7" w:rsidRPr="0099573B" w:rsidRDefault="00B33AB7" w:rsidP="002D75A1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6E0F0C" w:rsidRPr="0099573B">
              <w:rPr>
                <w:rFonts w:ascii="標楷體" w:eastAsia="標楷體" w:hAnsi="標楷體" w:hint="eastAsia"/>
                <w:sz w:val="28"/>
                <w:szCs w:val="28"/>
              </w:rPr>
              <w:t xml:space="preserve">內容摘要 </w:t>
            </w:r>
          </w:p>
        </w:tc>
        <w:tc>
          <w:tcPr>
            <w:tcW w:w="5954" w:type="dxa"/>
          </w:tcPr>
          <w:p w:rsidR="00703050" w:rsidRPr="00126441" w:rsidRDefault="00703050" w:rsidP="002D75A1">
            <w:pPr>
              <w:pStyle w:val="ab"/>
              <w:snapToGrid w:val="0"/>
              <w:spacing w:afterLines="50" w:line="400" w:lineRule="atLeast"/>
              <w:ind w:left="599" w:hangingChars="214" w:hanging="599"/>
              <w:rPr>
                <w:rFonts w:ascii="標楷體" w:hAnsi="標楷體"/>
                <w:color w:val="000000" w:themeColor="text1"/>
                <w:szCs w:val="28"/>
              </w:rPr>
            </w:pPr>
            <w:r w:rsidRPr="00126441">
              <w:rPr>
                <w:rFonts w:ascii="標楷體" w:hAnsi="標楷體" w:hint="eastAsia"/>
                <w:color w:val="000000" w:themeColor="text1"/>
                <w:szCs w:val="28"/>
              </w:rPr>
              <w:t>一、蒐集並分析其他國家關於新興媒體的媒體內容政策、法規、管制或治理架構與近期發展現況。</w:t>
            </w:r>
          </w:p>
          <w:p w:rsidR="00703050" w:rsidRPr="00126441" w:rsidRDefault="00703050" w:rsidP="002D75A1">
            <w:pPr>
              <w:pStyle w:val="ab"/>
              <w:snapToGrid w:val="0"/>
              <w:spacing w:afterLines="50" w:line="400" w:lineRule="atLeast"/>
              <w:ind w:leftChars="-104" w:left="598" w:hangingChars="303" w:hanging="848"/>
              <w:rPr>
                <w:rFonts w:ascii="標楷體" w:hAnsi="標楷體"/>
                <w:color w:val="000000" w:themeColor="text1"/>
                <w:szCs w:val="28"/>
              </w:rPr>
            </w:pPr>
            <w:r w:rsidRPr="00126441">
              <w:rPr>
                <w:rFonts w:ascii="標楷體" w:hAnsi="標楷體" w:hint="eastAsia"/>
                <w:color w:val="000000" w:themeColor="text1"/>
                <w:szCs w:val="28"/>
              </w:rPr>
              <w:t xml:space="preserve">  二、</w:t>
            </w:r>
            <w:r w:rsidRPr="00126441">
              <w:rPr>
                <w:rFonts w:asciiTheme="minorEastAsia" w:hAnsiTheme="minorEastAsia" w:hint="eastAsia"/>
                <w:color w:val="000000" w:themeColor="text1"/>
              </w:rPr>
              <w:t>蒐集並分析我國新興媒體發展及內容管制現況，並說明</w:t>
            </w:r>
            <w:proofErr w:type="gramStart"/>
            <w:r w:rsidRPr="00126441">
              <w:rPr>
                <w:rFonts w:asciiTheme="minorEastAsia" w:hAnsiTheme="minorEastAsia" w:hint="eastAsia"/>
                <w:color w:val="000000" w:themeColor="text1"/>
              </w:rPr>
              <w:t>釐</w:t>
            </w:r>
            <w:proofErr w:type="gramEnd"/>
            <w:r w:rsidRPr="00126441">
              <w:rPr>
                <w:rFonts w:asciiTheme="minorEastAsia" w:hAnsiTheme="minorEastAsia" w:hint="eastAsia"/>
                <w:color w:val="000000" w:themeColor="text1"/>
              </w:rPr>
              <w:t>清內容</w:t>
            </w:r>
            <w:proofErr w:type="gramStart"/>
            <w:r w:rsidRPr="00126441">
              <w:rPr>
                <w:rFonts w:asciiTheme="minorEastAsia" w:hAnsiTheme="minorEastAsia" w:hint="eastAsia"/>
                <w:color w:val="000000" w:themeColor="text1"/>
              </w:rPr>
              <w:t>產製中內容</w:t>
            </w:r>
            <w:proofErr w:type="gramEnd"/>
            <w:r w:rsidRPr="00126441">
              <w:rPr>
                <w:rFonts w:asciiTheme="minorEastAsia" w:hAnsiTheme="minorEastAsia" w:hint="eastAsia"/>
                <w:color w:val="000000" w:themeColor="text1"/>
              </w:rPr>
              <w:t>提供者、服務集成者、平台服務業者、終端裝置業者、</w:t>
            </w:r>
            <w:r w:rsidRPr="00126441">
              <w:rPr>
                <w:rFonts w:asciiTheme="minorEastAsia" w:hAnsiTheme="minorEastAsia"/>
                <w:color w:val="000000" w:themeColor="text1"/>
              </w:rPr>
              <w:t>…</w:t>
            </w:r>
            <w:r w:rsidRPr="00126441">
              <w:rPr>
                <w:rFonts w:asciiTheme="minorEastAsia" w:hAnsiTheme="minorEastAsia" w:hint="eastAsia"/>
                <w:color w:val="000000" w:themeColor="text1"/>
              </w:rPr>
              <w:t>等水平或垂直產業價值鏈關係。</w:t>
            </w:r>
          </w:p>
          <w:p w:rsidR="00703050" w:rsidRPr="00703050" w:rsidRDefault="00703050" w:rsidP="002D75A1">
            <w:pPr>
              <w:pStyle w:val="ab"/>
              <w:snapToGrid w:val="0"/>
              <w:spacing w:afterLines="50" w:line="400" w:lineRule="atLeast"/>
              <w:ind w:leftChars="-104" w:left="598" w:hangingChars="303" w:hanging="848"/>
              <w:rPr>
                <w:rFonts w:ascii="標楷體" w:hAnsi="標楷體"/>
                <w:color w:val="000000" w:themeColor="text1"/>
                <w:szCs w:val="28"/>
              </w:rPr>
            </w:pPr>
            <w:r w:rsidRPr="00126441">
              <w:rPr>
                <w:rFonts w:ascii="標楷體" w:hAnsi="標楷體" w:hint="eastAsia"/>
                <w:color w:val="000000" w:themeColor="text1"/>
                <w:szCs w:val="28"/>
              </w:rPr>
              <w:t xml:space="preserve">  三、邀請具代表性之公民團體、學者專家、業者代表、政府機關及社會人士等召開焦點團體座談會議</w:t>
            </w:r>
            <w:r w:rsidR="00EE5123">
              <w:rPr>
                <w:rFonts w:ascii="標楷體" w:hAnsi="標楷體" w:hint="eastAsia"/>
                <w:color w:val="000000" w:themeColor="text1"/>
                <w:szCs w:val="28"/>
              </w:rPr>
              <w:t>，</w:t>
            </w:r>
            <w:r w:rsidRPr="00126441">
              <w:rPr>
                <w:rFonts w:ascii="標楷體" w:hAnsi="標楷體" w:hint="eastAsia"/>
                <w:color w:val="000000" w:themeColor="text1"/>
                <w:szCs w:val="28"/>
              </w:rPr>
              <w:t>探討適合我國新興媒體內容治理架構（例如共管及自律模式）</w:t>
            </w:r>
            <w:r w:rsidR="00EE5123">
              <w:rPr>
                <w:rFonts w:ascii="標楷體" w:hAnsi="標楷體" w:hint="eastAsia"/>
                <w:color w:val="000000" w:themeColor="text1"/>
                <w:szCs w:val="28"/>
              </w:rPr>
              <w:t>，包含</w:t>
            </w:r>
            <w:r w:rsidRPr="00126441">
              <w:rPr>
                <w:rFonts w:ascii="標楷體" w:hAnsi="標楷體" w:hint="eastAsia"/>
                <w:color w:val="000000" w:themeColor="text1"/>
                <w:szCs w:val="28"/>
              </w:rPr>
              <w:t>政府在新興媒體治理的角色</w:t>
            </w:r>
            <w:r w:rsidR="00EE5123">
              <w:rPr>
                <w:rFonts w:ascii="標楷體" w:hAnsi="標楷體" w:hint="eastAsia"/>
                <w:color w:val="000000" w:themeColor="text1"/>
                <w:szCs w:val="28"/>
              </w:rPr>
              <w:t>、</w:t>
            </w:r>
            <w:r w:rsidRPr="00126441">
              <w:rPr>
                <w:rFonts w:ascii="標楷體" w:hAnsi="標楷體" w:hint="eastAsia"/>
                <w:color w:val="000000" w:themeColor="text1"/>
                <w:szCs w:val="28"/>
              </w:rPr>
              <w:t>介入管理的正當性</w:t>
            </w:r>
            <w:r w:rsidR="00EE5123">
              <w:rPr>
                <w:rFonts w:ascii="標楷體" w:hAnsi="標楷體" w:hint="eastAsia"/>
                <w:color w:val="000000" w:themeColor="text1"/>
                <w:szCs w:val="28"/>
              </w:rPr>
              <w:t>、</w:t>
            </w:r>
            <w:r w:rsidRPr="00126441">
              <w:rPr>
                <w:rFonts w:ascii="標楷體" w:hAnsi="標楷體" w:hint="eastAsia"/>
                <w:color w:val="000000" w:themeColor="text1"/>
                <w:szCs w:val="28"/>
              </w:rPr>
              <w:t>類電視（TV Like）服務應如何界定及有無管理必要或如何管理（含自律）</w:t>
            </w:r>
            <w:r w:rsidR="00EE5123">
              <w:rPr>
                <w:rFonts w:ascii="標楷體" w:hAnsi="標楷體" w:hint="eastAsia"/>
                <w:color w:val="000000" w:themeColor="text1"/>
                <w:szCs w:val="28"/>
              </w:rPr>
              <w:t>、</w:t>
            </w:r>
            <w:r w:rsidR="00EE5123">
              <w:rPr>
                <w:rFonts w:ascii="標楷體" w:hAnsi="標楷體"/>
                <w:color w:val="000000" w:themeColor="text1"/>
                <w:szCs w:val="28"/>
              </w:rPr>
              <w:t>…</w:t>
            </w:r>
            <w:r w:rsidR="00EE5123">
              <w:rPr>
                <w:rFonts w:ascii="標楷體" w:hAnsi="標楷體" w:hint="eastAsia"/>
                <w:color w:val="000000" w:themeColor="text1"/>
                <w:szCs w:val="28"/>
              </w:rPr>
              <w:t>等子議題。</w:t>
            </w:r>
          </w:p>
          <w:p w:rsidR="00273D81" w:rsidRPr="00405702" w:rsidRDefault="00703050" w:rsidP="00703050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030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四、參照國外管理經驗、國內產業現狀、我國當前新興媒體發展及現況，以及焦點團體座談結果，提出我國短期及長期下具體可行的新興媒體內容治理架構及政策、法令修正建議。</w:t>
            </w:r>
          </w:p>
        </w:tc>
      </w:tr>
    </w:tbl>
    <w:p w:rsidR="00B33AB7" w:rsidRPr="00B33AB7" w:rsidRDefault="00B33AB7" w:rsidP="00273D81">
      <w:pPr>
        <w:rPr>
          <w:rFonts w:ascii="標楷體" w:eastAsia="標楷體" w:hAnsi="標楷體"/>
          <w:sz w:val="28"/>
          <w:szCs w:val="28"/>
        </w:rPr>
      </w:pPr>
    </w:p>
    <w:sectPr w:rsidR="00B33AB7" w:rsidRPr="00B33AB7" w:rsidSect="007A4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31" w:rsidRDefault="00683431" w:rsidP="00B33AB7">
      <w:r>
        <w:separator/>
      </w:r>
    </w:p>
  </w:endnote>
  <w:endnote w:type="continuationSeparator" w:id="0">
    <w:p w:rsidR="00683431" w:rsidRDefault="00683431" w:rsidP="00B3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31" w:rsidRDefault="00683431" w:rsidP="00B33AB7">
      <w:r>
        <w:separator/>
      </w:r>
    </w:p>
  </w:footnote>
  <w:footnote w:type="continuationSeparator" w:id="0">
    <w:p w:rsidR="00683431" w:rsidRDefault="00683431" w:rsidP="00B3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14"/>
    <w:multiLevelType w:val="hybridMultilevel"/>
    <w:tmpl w:val="2D26544C"/>
    <w:lvl w:ilvl="0" w:tplc="6726B5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B135EB"/>
    <w:multiLevelType w:val="hybridMultilevel"/>
    <w:tmpl w:val="E5963A1C"/>
    <w:lvl w:ilvl="0" w:tplc="EC6A2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5B29A8"/>
    <w:multiLevelType w:val="hybridMultilevel"/>
    <w:tmpl w:val="BF4C7C74"/>
    <w:lvl w:ilvl="0" w:tplc="005E6A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AB7"/>
    <w:rsid w:val="00037F1C"/>
    <w:rsid w:val="00064B47"/>
    <w:rsid w:val="0006598F"/>
    <w:rsid w:val="0008366F"/>
    <w:rsid w:val="000B5191"/>
    <w:rsid w:val="0010688B"/>
    <w:rsid w:val="00150D47"/>
    <w:rsid w:val="00216908"/>
    <w:rsid w:val="002379CC"/>
    <w:rsid w:val="00245C62"/>
    <w:rsid w:val="00273D81"/>
    <w:rsid w:val="002C6F6A"/>
    <w:rsid w:val="002D75A1"/>
    <w:rsid w:val="00310105"/>
    <w:rsid w:val="00313BAB"/>
    <w:rsid w:val="003421BB"/>
    <w:rsid w:val="0034767D"/>
    <w:rsid w:val="0036765B"/>
    <w:rsid w:val="003772F8"/>
    <w:rsid w:val="003A5F5F"/>
    <w:rsid w:val="003B0FCC"/>
    <w:rsid w:val="003C647E"/>
    <w:rsid w:val="003D2149"/>
    <w:rsid w:val="00405702"/>
    <w:rsid w:val="00534E48"/>
    <w:rsid w:val="005A4ED4"/>
    <w:rsid w:val="005A60F6"/>
    <w:rsid w:val="005A7349"/>
    <w:rsid w:val="006230B7"/>
    <w:rsid w:val="00633E1D"/>
    <w:rsid w:val="00683431"/>
    <w:rsid w:val="0068534F"/>
    <w:rsid w:val="006C17D7"/>
    <w:rsid w:val="006C5574"/>
    <w:rsid w:val="006E0F0C"/>
    <w:rsid w:val="00703050"/>
    <w:rsid w:val="00717E51"/>
    <w:rsid w:val="00740948"/>
    <w:rsid w:val="007517CF"/>
    <w:rsid w:val="00755B80"/>
    <w:rsid w:val="007A4BA5"/>
    <w:rsid w:val="007B1095"/>
    <w:rsid w:val="007D653A"/>
    <w:rsid w:val="007E467F"/>
    <w:rsid w:val="0083013B"/>
    <w:rsid w:val="00853044"/>
    <w:rsid w:val="008B3294"/>
    <w:rsid w:val="008E0058"/>
    <w:rsid w:val="00923791"/>
    <w:rsid w:val="0097080C"/>
    <w:rsid w:val="00982398"/>
    <w:rsid w:val="0099573B"/>
    <w:rsid w:val="009A4EC9"/>
    <w:rsid w:val="009D20F0"/>
    <w:rsid w:val="00A2152B"/>
    <w:rsid w:val="00A657C5"/>
    <w:rsid w:val="00AB4098"/>
    <w:rsid w:val="00AC3E26"/>
    <w:rsid w:val="00B275A0"/>
    <w:rsid w:val="00B33AB7"/>
    <w:rsid w:val="00C40781"/>
    <w:rsid w:val="00CB181E"/>
    <w:rsid w:val="00D3666F"/>
    <w:rsid w:val="00D4161E"/>
    <w:rsid w:val="00DC2551"/>
    <w:rsid w:val="00E559A6"/>
    <w:rsid w:val="00E70102"/>
    <w:rsid w:val="00EB242E"/>
    <w:rsid w:val="00ED1507"/>
    <w:rsid w:val="00EE5123"/>
    <w:rsid w:val="00F54B49"/>
    <w:rsid w:val="00F838A0"/>
    <w:rsid w:val="00FA6D71"/>
    <w:rsid w:val="00FB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3AB7"/>
    <w:rPr>
      <w:kern w:val="2"/>
    </w:rPr>
  </w:style>
  <w:style w:type="paragraph" w:styleId="a6">
    <w:name w:val="footer"/>
    <w:basedOn w:val="a"/>
    <w:link w:val="a7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3AB7"/>
    <w:rPr>
      <w:kern w:val="2"/>
    </w:rPr>
  </w:style>
  <w:style w:type="paragraph" w:styleId="a8">
    <w:name w:val="Balloon Text"/>
    <w:basedOn w:val="a"/>
    <w:link w:val="a9"/>
    <w:rsid w:val="009D20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20F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3BAB"/>
    <w:pPr>
      <w:ind w:leftChars="200" w:left="480"/>
    </w:pPr>
  </w:style>
  <w:style w:type="paragraph" w:styleId="ab">
    <w:name w:val="Normal Indent"/>
    <w:basedOn w:val="a"/>
    <w:rsid w:val="00703050"/>
    <w:pPr>
      <w:tabs>
        <w:tab w:val="left" w:pos="1260"/>
      </w:tabs>
      <w:adjustRightInd w:val="0"/>
      <w:spacing w:line="480" w:lineRule="atLeast"/>
      <w:ind w:left="482" w:firstLine="567"/>
      <w:jc w:val="both"/>
      <w:textAlignment w:val="baseline"/>
    </w:pPr>
    <w:rPr>
      <w:rFonts w:ascii="Times" w:eastAsia="標楷體" w:hAnsi="Times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2014-09-01T01:03:00Z</dcterms:created>
  <dc:creator>綜合企劃處綜合業務科黃瑜瑛</dc:creator>
  <lastModifiedBy>內容事務處有線傳播及新興媒體內容科楊佳學</lastModifiedBy>
  <dcterms:modified xsi:type="dcterms:W3CDTF">2014-09-01T01:03:00Z</dcterms:modified>
  <revision>3</revision>
  <dc:title>委託研究計畫研究主題及其重點</dc:title>
</coreProperties>
</file>