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pStyle w:val="2"/>
        <w:tabs>
          <w:tab w:val="clear" w:pos="900"/>
          <w:tab w:val="clear" w:pos="1260"/>
          <w:tab w:val="clear" w:pos="8296"/>
          <w:tab w:val="left" w:pos="794"/>
        </w:tabs>
        <w:jc w:val="center"/>
        <w:rPr>
          <w:rFonts w:ascii="標楷體" w:hAnsi="標楷體"/>
          <w:smallCaps w:val="0"/>
          <w:noProof w:val="0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9F78BD" w:rsidRPr="009F78BD" w:rsidRDefault="009F78BD" w:rsidP="009F78BD">
      <w:pPr>
        <w:ind w:leftChars="-300" w:left="-720" w:rightChars="-300" w:right="-720"/>
        <w:jc w:val="center"/>
        <w:rPr>
          <w:rFonts w:ascii="標楷體" w:eastAsia="標楷體" w:hAnsi="標楷體" w:cs="Arial"/>
          <w:sz w:val="44"/>
          <w:szCs w:val="44"/>
        </w:rPr>
      </w:pPr>
      <w:r w:rsidRPr="009F78BD">
        <w:rPr>
          <w:rFonts w:ascii="標楷體" w:eastAsia="標楷體" w:hAnsi="標楷體" w:cs="Arial" w:hint="eastAsia"/>
          <w:sz w:val="44"/>
          <w:szCs w:val="44"/>
        </w:rPr>
        <w:t>1900</w:t>
      </w:r>
      <w:r w:rsidRPr="009F78BD">
        <w:rPr>
          <w:rFonts w:ascii="標楷體" w:eastAsia="標楷體" w:hAnsi="標楷體" w:hint="eastAsia"/>
          <w:sz w:val="44"/>
          <w:szCs w:val="44"/>
        </w:rPr>
        <w:t>MHz</w:t>
      </w:r>
      <w:r w:rsidRPr="009F78BD">
        <w:rPr>
          <w:rFonts w:ascii="標楷體" w:eastAsia="標楷體" w:hAnsi="標楷體" w:cs="Arial" w:hint="eastAsia"/>
          <w:sz w:val="44"/>
          <w:szCs w:val="44"/>
        </w:rPr>
        <w:t>數位式低功率無線電話基地臺射頻設備</w:t>
      </w:r>
    </w:p>
    <w:p w:rsidR="00C94FF9" w:rsidRPr="009F78BD" w:rsidRDefault="009F78BD" w:rsidP="009F78BD">
      <w:pPr>
        <w:ind w:leftChars="-300" w:left="-720" w:rightChars="-300" w:right="-720"/>
        <w:jc w:val="center"/>
        <w:rPr>
          <w:rFonts w:ascii="標楷體" w:eastAsia="標楷體" w:hAnsi="標楷體"/>
          <w:color w:val="000000"/>
        </w:rPr>
      </w:pPr>
      <w:r w:rsidRPr="009F78BD">
        <w:rPr>
          <w:rFonts w:ascii="標楷體" w:eastAsia="標楷體" w:hAnsi="標楷體" w:cs="Arial" w:hint="eastAsia"/>
          <w:sz w:val="44"/>
          <w:szCs w:val="44"/>
        </w:rPr>
        <w:t>技術規範</w:t>
      </w: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285CE7" w:rsidRPr="009F78BD" w:rsidRDefault="00285CE7" w:rsidP="00285CE7">
      <w:pPr>
        <w:jc w:val="center"/>
        <w:rPr>
          <w:rFonts w:ascii="標楷體" w:eastAsia="標楷體" w:hAnsi="標楷體"/>
          <w:color w:val="000000"/>
        </w:rPr>
      </w:pPr>
    </w:p>
    <w:p w:rsidR="00C94FF9" w:rsidRPr="009F78BD" w:rsidRDefault="00C94FF9" w:rsidP="00285CE7">
      <w:pPr>
        <w:jc w:val="center"/>
        <w:rPr>
          <w:rFonts w:ascii="標楷體" w:eastAsia="標楷體" w:hAnsi="標楷體"/>
          <w:color w:val="000000"/>
        </w:rPr>
      </w:pPr>
    </w:p>
    <w:p w:rsidR="00285CE7" w:rsidRPr="009F78BD" w:rsidRDefault="00285CE7" w:rsidP="00285CE7">
      <w:pPr>
        <w:jc w:val="center"/>
        <w:rPr>
          <w:rFonts w:ascii="標楷體" w:eastAsia="標楷體" w:hAnsi="標楷體"/>
          <w:color w:val="000000"/>
        </w:rPr>
      </w:pPr>
    </w:p>
    <w:p w:rsidR="00285CE7" w:rsidRPr="009F78BD" w:rsidRDefault="00285CE7" w:rsidP="00285CE7">
      <w:pPr>
        <w:jc w:val="center"/>
        <w:rPr>
          <w:rFonts w:ascii="標楷體" w:eastAsia="標楷體" w:hAnsi="標楷體"/>
          <w:color w:val="000000"/>
        </w:rPr>
      </w:pPr>
    </w:p>
    <w:p w:rsidR="00285CE7" w:rsidRPr="009F78BD" w:rsidRDefault="00285CE7" w:rsidP="00285CE7">
      <w:pPr>
        <w:jc w:val="center"/>
        <w:rPr>
          <w:rFonts w:ascii="標楷體" w:eastAsia="標楷體" w:hAnsi="標楷體"/>
          <w:color w:val="000000"/>
        </w:rPr>
      </w:pPr>
    </w:p>
    <w:p w:rsidR="00285CE7" w:rsidRPr="009F78BD" w:rsidRDefault="00285CE7" w:rsidP="00285CE7">
      <w:pPr>
        <w:jc w:val="center"/>
        <w:rPr>
          <w:rFonts w:ascii="標楷體" w:eastAsia="標楷體" w:hAnsi="標楷體"/>
          <w:color w:val="000000"/>
        </w:rPr>
      </w:pPr>
    </w:p>
    <w:p w:rsidR="00285CE7" w:rsidRPr="009F78BD" w:rsidRDefault="00285CE7" w:rsidP="00285CE7">
      <w:pPr>
        <w:jc w:val="center"/>
        <w:rPr>
          <w:rFonts w:ascii="標楷體" w:eastAsia="標楷體" w:hAnsi="標楷體"/>
          <w:color w:val="000000"/>
        </w:rPr>
      </w:pPr>
    </w:p>
    <w:p w:rsidR="00285CE7" w:rsidRPr="009F78BD" w:rsidRDefault="00285CE7" w:rsidP="00285CE7">
      <w:pPr>
        <w:jc w:val="center"/>
        <w:rPr>
          <w:rFonts w:ascii="標楷體" w:eastAsia="標楷體" w:hAnsi="標楷體"/>
          <w:color w:val="000000"/>
        </w:rPr>
      </w:pPr>
    </w:p>
    <w:p w:rsidR="00285CE7" w:rsidRDefault="00285CE7" w:rsidP="00285CE7">
      <w:pPr>
        <w:jc w:val="center"/>
        <w:rPr>
          <w:rFonts w:ascii="標楷體" w:eastAsia="標楷體" w:hAnsi="標楷體"/>
          <w:color w:val="000000"/>
        </w:rPr>
      </w:pPr>
    </w:p>
    <w:p w:rsidR="00ED04DB" w:rsidRPr="009F78BD" w:rsidRDefault="00ED04DB" w:rsidP="00285CE7">
      <w:pPr>
        <w:jc w:val="center"/>
        <w:rPr>
          <w:rFonts w:ascii="標楷體" w:eastAsia="標楷體" w:hAnsi="標楷體"/>
          <w:color w:val="000000"/>
        </w:rPr>
      </w:pPr>
    </w:p>
    <w:p w:rsidR="009F78BD" w:rsidRPr="009F78BD" w:rsidRDefault="00C94FF9" w:rsidP="00ED04DB">
      <w:pPr>
        <w:widowControl/>
        <w:jc w:val="center"/>
        <w:rPr>
          <w:rFonts w:ascii="標楷體" w:eastAsia="標楷體" w:hAnsi="標楷體"/>
        </w:rPr>
      </w:pPr>
      <w:r w:rsidRPr="009F78BD">
        <w:rPr>
          <w:rFonts w:ascii="標楷體" w:eastAsia="標楷體" w:hAnsi="標楷體" w:hint="eastAsia"/>
          <w:color w:val="000000"/>
          <w:sz w:val="36"/>
        </w:rPr>
        <w:t>國家通訊傳播委員會</w:t>
      </w:r>
      <w:r w:rsidRPr="009F78BD">
        <w:rPr>
          <w:rFonts w:ascii="標楷體" w:eastAsia="標楷體" w:hAnsi="標楷體"/>
        </w:rPr>
        <w:br w:type="page"/>
      </w:r>
    </w:p>
    <w:p w:rsidR="009F78BD" w:rsidRPr="009F78BD" w:rsidRDefault="009F78BD" w:rsidP="002A006F">
      <w:pPr>
        <w:snapToGrid w:val="0"/>
        <w:spacing w:beforeLines="50" w:line="460" w:lineRule="exact"/>
        <w:rPr>
          <w:rFonts w:ascii="標楷體" w:eastAsia="標楷體" w:hAnsi="標楷體"/>
          <w:b/>
          <w:szCs w:val="24"/>
        </w:rPr>
      </w:pPr>
      <w:r w:rsidRPr="009F78BD">
        <w:rPr>
          <w:rFonts w:ascii="標楷體" w:eastAsia="標楷體" w:hAnsi="標楷體" w:cs="新細明體"/>
          <w:b/>
          <w:szCs w:val="24"/>
        </w:rPr>
        <w:lastRenderedPageBreak/>
        <w:t>1.</w:t>
      </w:r>
      <w:r w:rsidRPr="009F78BD">
        <w:rPr>
          <w:rFonts w:ascii="標楷體" w:eastAsia="標楷體" w:hAnsi="標楷體" w:cs="新細明體" w:hint="eastAsia"/>
          <w:b/>
          <w:szCs w:val="24"/>
        </w:rPr>
        <w:t>法源</w:t>
      </w:r>
      <w:r w:rsidRPr="009F78BD">
        <w:rPr>
          <w:rFonts w:ascii="標楷體" w:eastAsia="標楷體" w:hAnsi="標楷體" w:hint="eastAsia"/>
          <w:b/>
          <w:szCs w:val="24"/>
        </w:rPr>
        <w:t>依據</w:t>
      </w:r>
    </w:p>
    <w:p w:rsidR="009F78BD" w:rsidRPr="009F78BD" w:rsidRDefault="009F78BD" w:rsidP="009F78BD">
      <w:pPr>
        <w:snapToGrid w:val="0"/>
        <w:spacing w:line="460" w:lineRule="exact"/>
        <w:ind w:leftChars="100" w:left="240"/>
        <w:rPr>
          <w:rFonts w:ascii="標楷體" w:eastAsia="標楷體" w:hAnsi="標楷體"/>
          <w:szCs w:val="24"/>
        </w:rPr>
      </w:pPr>
      <w:r w:rsidRPr="009F78BD">
        <w:rPr>
          <w:rFonts w:ascii="標楷體" w:eastAsia="標楷體" w:hAnsi="標楷體" w:hint="eastAsia"/>
          <w:szCs w:val="24"/>
        </w:rPr>
        <w:t>本規範依據電信法第五十條第一項規定訂定之。</w:t>
      </w:r>
    </w:p>
    <w:p w:rsidR="009F78BD" w:rsidRPr="009F78BD" w:rsidRDefault="009F78BD" w:rsidP="002A006F">
      <w:pPr>
        <w:snapToGrid w:val="0"/>
        <w:spacing w:beforeLines="50" w:line="460" w:lineRule="exact"/>
        <w:rPr>
          <w:rFonts w:ascii="標楷體" w:eastAsia="標楷體" w:hAnsi="標楷體"/>
          <w:b/>
          <w:szCs w:val="24"/>
        </w:rPr>
      </w:pPr>
      <w:r w:rsidRPr="009F78BD">
        <w:rPr>
          <w:rFonts w:ascii="標楷體" w:eastAsia="標楷體" w:hAnsi="標楷體" w:hint="eastAsia"/>
          <w:b/>
          <w:szCs w:val="24"/>
        </w:rPr>
        <w:t>2</w:t>
      </w:r>
      <w:r w:rsidRPr="009F78BD">
        <w:rPr>
          <w:rFonts w:ascii="標楷體" w:eastAsia="標楷體" w:hAnsi="標楷體"/>
          <w:b/>
          <w:szCs w:val="24"/>
        </w:rPr>
        <w:t>.</w:t>
      </w:r>
      <w:r w:rsidRPr="009F78BD">
        <w:rPr>
          <w:rFonts w:ascii="標楷體" w:eastAsia="標楷體" w:hAnsi="標楷體" w:hint="eastAsia"/>
          <w:b/>
          <w:szCs w:val="24"/>
        </w:rPr>
        <w:t>適用範圍：</w:t>
      </w:r>
    </w:p>
    <w:p w:rsidR="009F78BD" w:rsidRPr="009F78BD" w:rsidRDefault="009F78BD" w:rsidP="009F78BD">
      <w:pPr>
        <w:snapToGrid w:val="0"/>
        <w:spacing w:line="460" w:lineRule="exact"/>
        <w:ind w:leftChars="100" w:left="240"/>
        <w:rPr>
          <w:rFonts w:ascii="標楷體" w:eastAsia="標楷體" w:hAnsi="標楷體"/>
          <w:b/>
          <w:szCs w:val="24"/>
        </w:rPr>
      </w:pPr>
      <w:r w:rsidRPr="009F78BD">
        <w:rPr>
          <w:rFonts w:ascii="標楷體" w:eastAsia="標楷體" w:hAnsi="標楷體" w:hint="eastAsia"/>
          <w:szCs w:val="24"/>
        </w:rPr>
        <w:t>本規範適用於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00"/>
          <w:attr w:name="UnitName" w:val="m"/>
        </w:smartTagPr>
        <w:r w:rsidRPr="009F78BD">
          <w:rPr>
            <w:rFonts w:ascii="標楷體" w:eastAsia="標楷體" w:hAnsi="標楷體" w:cs="新細明體" w:hint="eastAsia"/>
            <w:szCs w:val="24"/>
          </w:rPr>
          <w:t>1900M</w:t>
        </w:r>
      </w:smartTag>
      <w:r w:rsidRPr="009F78BD">
        <w:rPr>
          <w:rFonts w:ascii="標楷體" w:eastAsia="標楷體" w:hAnsi="標楷體" w:cs="新細明體" w:hint="eastAsia"/>
          <w:szCs w:val="24"/>
        </w:rPr>
        <w:t>Hz</w:t>
      </w:r>
      <w:r w:rsidRPr="009F78BD">
        <w:rPr>
          <w:rFonts w:ascii="標楷體" w:eastAsia="標楷體" w:hAnsi="標楷體" w:hint="eastAsia"/>
          <w:szCs w:val="24"/>
        </w:rPr>
        <w:t>數位式低功率無線電話基地臺射頻設備型式認證</w:t>
      </w:r>
      <w:r w:rsidRPr="009F78BD">
        <w:rPr>
          <w:rFonts w:ascii="標楷體" w:eastAsia="標楷體" w:hAnsi="標楷體"/>
          <w:szCs w:val="24"/>
        </w:rPr>
        <w:t>。</w:t>
      </w:r>
    </w:p>
    <w:p w:rsidR="009F78BD" w:rsidRPr="009F78BD" w:rsidRDefault="009F78BD" w:rsidP="002A006F">
      <w:pPr>
        <w:snapToGrid w:val="0"/>
        <w:spacing w:beforeLines="50" w:line="460" w:lineRule="exact"/>
        <w:rPr>
          <w:rFonts w:ascii="標楷體" w:eastAsia="標楷體" w:hAnsi="標楷體"/>
          <w:b/>
          <w:szCs w:val="24"/>
        </w:rPr>
      </w:pPr>
      <w:r w:rsidRPr="009F78BD">
        <w:rPr>
          <w:rFonts w:ascii="標楷體" w:eastAsia="標楷體" w:hAnsi="標楷體" w:hint="eastAsia"/>
          <w:b/>
          <w:szCs w:val="24"/>
        </w:rPr>
        <w:t>3</w:t>
      </w:r>
      <w:r w:rsidRPr="009F78BD">
        <w:rPr>
          <w:rFonts w:ascii="標楷體" w:eastAsia="標楷體" w:hAnsi="標楷體"/>
          <w:b/>
          <w:szCs w:val="24"/>
        </w:rPr>
        <w:t>.技術標準</w:t>
      </w:r>
      <w:r w:rsidRPr="009F78BD">
        <w:rPr>
          <w:rFonts w:ascii="標楷體" w:eastAsia="標楷體" w:hAnsi="標楷體" w:hint="eastAsia"/>
          <w:b/>
          <w:szCs w:val="24"/>
        </w:rPr>
        <w:t>:</w:t>
      </w:r>
    </w:p>
    <w:p w:rsidR="009F78BD" w:rsidRPr="009F78BD" w:rsidRDefault="009F78BD" w:rsidP="009F78BD">
      <w:pPr>
        <w:snapToGrid w:val="0"/>
        <w:spacing w:line="460" w:lineRule="exact"/>
        <w:ind w:leftChars="100" w:left="240"/>
        <w:rPr>
          <w:rFonts w:ascii="標楷體" w:eastAsia="標楷體" w:hAnsi="標楷體"/>
          <w:szCs w:val="24"/>
        </w:rPr>
      </w:pPr>
      <w:r w:rsidRPr="009F78BD">
        <w:rPr>
          <w:rFonts w:ascii="標楷體" w:eastAsia="標楷體" w:hAnsi="標楷體"/>
          <w:szCs w:val="24"/>
        </w:rPr>
        <w:t>本規範係參考</w:t>
      </w:r>
      <w:r w:rsidRPr="009F78BD">
        <w:rPr>
          <w:rFonts w:ascii="標楷體" w:eastAsia="標楷體" w:hAnsi="標楷體" w:hint="eastAsia"/>
          <w:szCs w:val="24"/>
        </w:rPr>
        <w:t>中華民國</w:t>
      </w:r>
      <w:r w:rsidRPr="009F78BD">
        <w:rPr>
          <w:rFonts w:ascii="標楷體" w:eastAsia="標楷體" w:hAnsi="標楷體"/>
          <w:szCs w:val="24"/>
        </w:rPr>
        <w:t>國家標準CNS13438、 CNS14336</w:t>
      </w:r>
      <w:r w:rsidRPr="009F78BD">
        <w:rPr>
          <w:rFonts w:ascii="標楷體" w:eastAsia="標楷體" w:hAnsi="標楷體" w:hint="eastAsia"/>
          <w:szCs w:val="24"/>
        </w:rPr>
        <w:t>-1及其他國際</w:t>
      </w:r>
      <w:r w:rsidRPr="009F78BD">
        <w:rPr>
          <w:rFonts w:ascii="標楷體" w:eastAsia="標楷體" w:hAnsi="標楷體"/>
          <w:szCs w:val="24"/>
        </w:rPr>
        <w:t>技術標準訂定。</w:t>
      </w:r>
    </w:p>
    <w:p w:rsidR="009F78BD" w:rsidRPr="009F78BD" w:rsidRDefault="009F78BD" w:rsidP="002A006F">
      <w:pPr>
        <w:snapToGrid w:val="0"/>
        <w:spacing w:beforeLines="50" w:line="460" w:lineRule="exact"/>
        <w:rPr>
          <w:rFonts w:ascii="標楷體" w:eastAsia="標楷體" w:hAnsi="標楷體"/>
          <w:b/>
          <w:szCs w:val="24"/>
        </w:rPr>
      </w:pPr>
      <w:r w:rsidRPr="009F78BD">
        <w:rPr>
          <w:rFonts w:ascii="標楷體" w:eastAsia="標楷體" w:hAnsi="標楷體" w:cs="Arial"/>
          <w:b/>
          <w:szCs w:val="24"/>
        </w:rPr>
        <w:t>4</w:t>
      </w:r>
      <w:r w:rsidRPr="009F78BD">
        <w:rPr>
          <w:rFonts w:ascii="標楷體" w:eastAsia="標楷體" w:hAnsi="標楷體"/>
          <w:b/>
          <w:szCs w:val="24"/>
        </w:rPr>
        <w:t>.</w:t>
      </w:r>
      <w:r w:rsidRPr="009F78BD">
        <w:rPr>
          <w:rFonts w:ascii="標楷體" w:eastAsia="標楷體" w:hAnsi="標楷體" w:hint="eastAsia"/>
          <w:b/>
          <w:szCs w:val="24"/>
        </w:rPr>
        <w:t>測試項目及合格標準：</w:t>
      </w:r>
    </w:p>
    <w:p w:rsidR="009F78BD" w:rsidRPr="009F78BD" w:rsidRDefault="009F78BD" w:rsidP="009F78BD">
      <w:pPr>
        <w:snapToGrid w:val="0"/>
        <w:spacing w:line="460" w:lineRule="exact"/>
        <w:ind w:leftChars="100" w:left="240"/>
        <w:rPr>
          <w:rFonts w:ascii="標楷體" w:eastAsia="標楷體" w:hAnsi="標楷體"/>
        </w:rPr>
      </w:pPr>
      <w:r w:rsidRPr="009F78BD">
        <w:rPr>
          <w:rFonts w:ascii="標楷體" w:eastAsia="標楷體" w:hAnsi="標楷體" w:hint="eastAsia"/>
          <w:szCs w:val="24"/>
        </w:rPr>
        <w:t>1900MHz數位式低功率無線電話基地臺射頻設備測試項目及合格標準如附表。</w:t>
      </w:r>
    </w:p>
    <w:p w:rsidR="009F78BD" w:rsidRPr="009F78BD" w:rsidRDefault="009F78BD">
      <w:pPr>
        <w:widowControl/>
        <w:rPr>
          <w:rFonts w:ascii="標楷體" w:eastAsia="標楷體" w:hAnsi="標楷體"/>
        </w:rPr>
      </w:pPr>
      <w:r w:rsidRPr="009F78BD">
        <w:rPr>
          <w:rFonts w:ascii="標楷體" w:eastAsia="標楷體" w:hAnsi="標楷體"/>
        </w:rPr>
        <w:br w:type="page"/>
      </w:r>
    </w:p>
    <w:p w:rsidR="009F78BD" w:rsidRPr="009F78BD" w:rsidRDefault="009F78BD" w:rsidP="009F78BD">
      <w:pPr>
        <w:spacing w:line="240" w:lineRule="atLeast"/>
        <w:rPr>
          <w:rFonts w:ascii="標楷體" w:eastAsia="標楷體" w:hAnsi="標楷體"/>
          <w:b/>
          <w:szCs w:val="24"/>
        </w:rPr>
      </w:pPr>
      <w:r w:rsidRPr="009F78BD">
        <w:rPr>
          <w:rFonts w:ascii="標楷體" w:eastAsia="標楷體" w:hAnsi="標楷體" w:hint="eastAsia"/>
          <w:szCs w:val="24"/>
        </w:rPr>
        <w:lastRenderedPageBreak/>
        <w:t xml:space="preserve">附表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00"/>
          <w:attr w:name="UnitName" w:val="m"/>
        </w:smartTagPr>
        <w:r w:rsidRPr="009F78BD">
          <w:rPr>
            <w:rFonts w:ascii="標楷體" w:eastAsia="標楷體" w:hAnsi="標楷體" w:hint="eastAsia"/>
            <w:szCs w:val="24"/>
          </w:rPr>
          <w:t>1900M</w:t>
        </w:r>
      </w:smartTag>
      <w:r w:rsidRPr="009F78BD">
        <w:rPr>
          <w:rFonts w:ascii="標楷體" w:eastAsia="標楷體" w:hAnsi="標楷體" w:hint="eastAsia"/>
          <w:szCs w:val="24"/>
        </w:rPr>
        <w:t>Hz數位式低功率無線電話基地臺射頻設備測試項目及合格標準</w:t>
      </w:r>
    </w:p>
    <w:p w:rsidR="009F78BD" w:rsidRPr="009F78BD" w:rsidRDefault="009F78BD" w:rsidP="009F78BD">
      <w:pPr>
        <w:spacing w:line="240" w:lineRule="atLeast"/>
        <w:rPr>
          <w:rFonts w:ascii="標楷體" w:eastAsia="標楷體" w:hAnsi="標楷體"/>
          <w:b/>
          <w:szCs w:val="24"/>
        </w:rPr>
      </w:pPr>
    </w:p>
    <w:p w:rsidR="009F78BD" w:rsidRPr="009F78BD" w:rsidRDefault="009F78BD" w:rsidP="002A006F">
      <w:pPr>
        <w:spacing w:afterLines="50" w:line="240" w:lineRule="atLeast"/>
        <w:rPr>
          <w:rFonts w:ascii="標楷體" w:eastAsia="標楷體" w:hAnsi="標楷體"/>
          <w:b/>
          <w:szCs w:val="24"/>
        </w:rPr>
      </w:pPr>
      <w:r w:rsidRPr="009F78BD">
        <w:rPr>
          <w:rFonts w:ascii="標楷體" w:eastAsia="標楷體" w:hAnsi="標楷體" w:hint="eastAsia"/>
          <w:b/>
          <w:szCs w:val="24"/>
        </w:rPr>
        <w:t>一 、</w:t>
      </w:r>
      <w:r w:rsidRPr="009F78BD">
        <w:rPr>
          <w:rFonts w:ascii="標楷體" w:eastAsia="標楷體" w:hAnsi="標楷體" w:hint="eastAsia"/>
          <w:szCs w:val="24"/>
        </w:rPr>
        <w:t>窄頻通道系統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4536"/>
      </w:tblGrid>
      <w:tr w:rsidR="009F78BD" w:rsidRPr="009F78BD" w:rsidTr="002A786A">
        <w:trPr>
          <w:trHeight w:val="421"/>
        </w:trPr>
        <w:tc>
          <w:tcPr>
            <w:tcW w:w="4361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F78BD">
              <w:rPr>
                <w:rFonts w:ascii="標楷體" w:eastAsia="標楷體" w:hAnsi="標楷體" w:hint="eastAsia"/>
                <w:b/>
                <w:sz w:val="20"/>
              </w:rPr>
              <w:t>測試項目</w:t>
            </w:r>
          </w:p>
        </w:tc>
        <w:tc>
          <w:tcPr>
            <w:tcW w:w="4536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F78BD">
              <w:rPr>
                <w:rFonts w:ascii="標楷體" w:eastAsia="標楷體" w:hAnsi="標楷體" w:hint="eastAsia"/>
                <w:b/>
                <w:sz w:val="20"/>
              </w:rPr>
              <w:t>合格標準</w:t>
            </w:r>
          </w:p>
        </w:tc>
      </w:tr>
      <w:tr w:rsidR="009F78BD" w:rsidRPr="009F78BD" w:rsidTr="002A786A">
        <w:trPr>
          <w:trHeight w:val="412"/>
        </w:trPr>
        <w:tc>
          <w:tcPr>
            <w:tcW w:w="4361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工作頻帶</w:t>
            </w:r>
          </w:p>
        </w:tc>
        <w:tc>
          <w:tcPr>
            <w:tcW w:w="4536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/>
                <w:sz w:val="20"/>
              </w:rPr>
              <w:t>1905</w:t>
            </w:r>
            <w:r w:rsidRPr="009F78BD">
              <w:rPr>
                <w:rFonts w:ascii="標楷體" w:eastAsia="標楷體" w:hAnsi="標楷體" w:hint="eastAsia"/>
                <w:sz w:val="20"/>
              </w:rPr>
              <w:t>～</w:t>
            </w:r>
            <w:r w:rsidRPr="009F78BD">
              <w:rPr>
                <w:rFonts w:ascii="標楷體" w:eastAsia="標楷體" w:hAnsi="標楷體"/>
                <w:sz w:val="20"/>
              </w:rPr>
              <w:t>1915MHz</w:t>
            </w:r>
          </w:p>
        </w:tc>
      </w:tr>
      <w:tr w:rsidR="009F78BD" w:rsidRPr="009F78BD" w:rsidTr="002A786A">
        <w:trPr>
          <w:trHeight w:val="419"/>
        </w:trPr>
        <w:tc>
          <w:tcPr>
            <w:tcW w:w="4361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頻道間隔</w:t>
            </w:r>
          </w:p>
        </w:tc>
        <w:tc>
          <w:tcPr>
            <w:tcW w:w="4536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/>
                <w:sz w:val="20"/>
              </w:rPr>
              <w:t>300KHz</w:t>
            </w:r>
          </w:p>
        </w:tc>
      </w:tr>
      <w:tr w:rsidR="009F78BD" w:rsidRPr="009F78BD" w:rsidTr="002A786A">
        <w:trPr>
          <w:trHeight w:val="709"/>
        </w:trPr>
        <w:tc>
          <w:tcPr>
            <w:tcW w:w="4361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射頻單體最大輸出功率（</w:t>
            </w:r>
            <w:r w:rsidRPr="009F78BD">
              <w:rPr>
                <w:rFonts w:ascii="標楷體" w:eastAsia="標楷體" w:hAnsi="標楷體"/>
                <w:sz w:val="20"/>
              </w:rPr>
              <w:t>P</w:t>
            </w:r>
            <w:r w:rsidRPr="009F78BD">
              <w:rPr>
                <w:rFonts w:ascii="標楷體" w:eastAsia="標楷體" w:hAnsi="標楷體"/>
                <w:sz w:val="20"/>
                <w:vertAlign w:val="subscript"/>
              </w:rPr>
              <w:t>O</w:t>
            </w:r>
            <w:r w:rsidRPr="009F78BD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4536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射頻單體之輸出功率加計天線增益後，其天線發射之最大有效等向輻射功率（</w:t>
            </w:r>
            <w:r w:rsidRPr="009F78BD">
              <w:rPr>
                <w:rFonts w:ascii="標楷體" w:eastAsia="標楷體" w:hAnsi="標楷體"/>
                <w:sz w:val="20"/>
              </w:rPr>
              <w:t>EIRP</w:t>
            </w:r>
            <w:r w:rsidRPr="009F78BD">
              <w:rPr>
                <w:rFonts w:ascii="標楷體" w:eastAsia="標楷體" w:hAnsi="標楷體" w:hint="eastAsia"/>
                <w:sz w:val="20"/>
              </w:rPr>
              <w:t>）不得超過32</w:t>
            </w:r>
            <w:r w:rsidRPr="009F78BD">
              <w:rPr>
                <w:rFonts w:ascii="標楷體" w:eastAsia="標楷體" w:hAnsi="標楷體"/>
                <w:sz w:val="20"/>
              </w:rPr>
              <w:t>W</w:t>
            </w:r>
            <w:r w:rsidRPr="009F78BD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9F78BD" w:rsidRPr="009F78BD" w:rsidTr="002A786A">
        <w:trPr>
          <w:trHeight w:val="549"/>
        </w:trPr>
        <w:tc>
          <w:tcPr>
            <w:tcW w:w="4361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頻率穩定度</w:t>
            </w:r>
          </w:p>
        </w:tc>
        <w:tc>
          <w:tcPr>
            <w:tcW w:w="4536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載波中心頻率＜±</w:t>
            </w:r>
            <w:r w:rsidRPr="009F78BD">
              <w:rPr>
                <w:rFonts w:ascii="標楷體" w:eastAsia="標楷體" w:hAnsi="標楷體"/>
                <w:sz w:val="20"/>
              </w:rPr>
              <w:t>3ppm</w:t>
            </w:r>
          </w:p>
        </w:tc>
      </w:tr>
      <w:tr w:rsidR="009F78BD" w:rsidRPr="009F78BD" w:rsidTr="002A786A">
        <w:trPr>
          <w:trHeight w:val="982"/>
        </w:trPr>
        <w:tc>
          <w:tcPr>
            <w:tcW w:w="4361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鄰近通道功率</w:t>
            </w:r>
          </w:p>
        </w:tc>
        <w:tc>
          <w:tcPr>
            <w:tcW w:w="4536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中心載波頻率±</w:t>
            </w:r>
            <w:r w:rsidRPr="009F78BD">
              <w:rPr>
                <w:rFonts w:ascii="標楷體" w:eastAsia="標楷體" w:hAnsi="標楷體"/>
                <w:sz w:val="20"/>
              </w:rPr>
              <w:t>600KHz</w:t>
            </w:r>
            <w:r w:rsidRPr="009F78BD">
              <w:rPr>
                <w:rFonts w:ascii="標楷體" w:eastAsia="標楷體" w:hAnsi="標楷體" w:hint="eastAsia"/>
                <w:sz w:val="20"/>
              </w:rPr>
              <w:t>：</w:t>
            </w:r>
            <w:r w:rsidRPr="009F78BD">
              <w:rPr>
                <w:rFonts w:ascii="標楷體" w:eastAsia="標楷體" w:hAnsi="標楷體"/>
                <w:sz w:val="20"/>
              </w:rPr>
              <w:t>&lt;800nW</w:t>
            </w:r>
          </w:p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中心載波頻率±</w:t>
            </w:r>
            <w:r w:rsidRPr="009F78BD">
              <w:rPr>
                <w:rFonts w:ascii="標楷體" w:eastAsia="標楷體" w:hAnsi="標楷體"/>
                <w:sz w:val="20"/>
              </w:rPr>
              <w:t>900KHz</w:t>
            </w:r>
            <w:r w:rsidRPr="009F78BD">
              <w:rPr>
                <w:rFonts w:ascii="標楷體" w:eastAsia="標楷體" w:hAnsi="標楷體" w:hint="eastAsia"/>
                <w:sz w:val="20"/>
              </w:rPr>
              <w:t>：</w:t>
            </w:r>
            <w:r w:rsidRPr="009F78BD">
              <w:rPr>
                <w:rFonts w:ascii="標楷體" w:eastAsia="標楷體" w:hAnsi="標楷體"/>
                <w:sz w:val="20"/>
              </w:rPr>
              <w:t>&lt;250nW</w:t>
            </w:r>
          </w:p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其發射射頻頻譜如下圖一所示</w:t>
            </w:r>
          </w:p>
        </w:tc>
      </w:tr>
      <w:tr w:rsidR="009F78BD" w:rsidRPr="009F78BD" w:rsidTr="002A786A">
        <w:trPr>
          <w:trHeight w:val="699"/>
        </w:trPr>
        <w:tc>
          <w:tcPr>
            <w:tcW w:w="4361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混附波輻射</w:t>
            </w:r>
          </w:p>
        </w:tc>
        <w:tc>
          <w:tcPr>
            <w:tcW w:w="4536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頻帶內：＜</w:t>
            </w:r>
            <w:r w:rsidRPr="009F78BD">
              <w:rPr>
                <w:rFonts w:ascii="標楷體" w:eastAsia="標楷體" w:hAnsi="標楷體"/>
                <w:sz w:val="20"/>
              </w:rPr>
              <w:t>250nw</w:t>
            </w:r>
          </w:p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頻帶外：＜</w:t>
            </w:r>
            <w:r w:rsidRPr="009F78BD">
              <w:rPr>
                <w:rFonts w:ascii="標楷體" w:eastAsia="標楷體" w:hAnsi="標楷體"/>
                <w:sz w:val="20"/>
              </w:rPr>
              <w:t>2.5</w:t>
            </w:r>
            <w:r w:rsidRPr="009F78BD">
              <w:rPr>
                <w:rFonts w:ascii="標楷體" w:eastAsia="標楷體" w:hAnsi="標楷體" w:hint="eastAsia"/>
                <w:sz w:val="20"/>
              </w:rPr>
              <w:t>μ</w:t>
            </w:r>
            <w:r w:rsidRPr="009F78BD">
              <w:rPr>
                <w:rFonts w:ascii="標楷體" w:eastAsia="標楷體" w:hAnsi="標楷體"/>
                <w:sz w:val="20"/>
              </w:rPr>
              <w:t>w</w:t>
            </w:r>
          </w:p>
        </w:tc>
      </w:tr>
      <w:tr w:rsidR="009F78BD" w:rsidRPr="009F78BD" w:rsidTr="002A786A">
        <w:trPr>
          <w:trHeight w:val="411"/>
        </w:trPr>
        <w:tc>
          <w:tcPr>
            <w:tcW w:w="4361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電磁相容(EMC)</w:t>
            </w:r>
          </w:p>
        </w:tc>
        <w:tc>
          <w:tcPr>
            <w:tcW w:w="4536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CNS13438</w:t>
            </w:r>
          </w:p>
        </w:tc>
      </w:tr>
      <w:tr w:rsidR="009F78BD" w:rsidRPr="009F78BD" w:rsidTr="002A786A">
        <w:trPr>
          <w:trHeight w:val="417"/>
        </w:trPr>
        <w:tc>
          <w:tcPr>
            <w:tcW w:w="4361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電氣安全(Safety)</w:t>
            </w:r>
          </w:p>
        </w:tc>
        <w:tc>
          <w:tcPr>
            <w:tcW w:w="4536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CNS14336-1</w:t>
            </w:r>
          </w:p>
        </w:tc>
      </w:tr>
    </w:tbl>
    <w:p w:rsidR="009F78BD" w:rsidRPr="009F78BD" w:rsidRDefault="009F78BD" w:rsidP="009F78BD">
      <w:pPr>
        <w:spacing w:line="240" w:lineRule="atLeast"/>
        <w:ind w:firstLine="357"/>
        <w:jc w:val="both"/>
        <w:rPr>
          <w:rFonts w:ascii="標楷體" w:eastAsia="標楷體" w:hAnsi="標楷體"/>
          <w:sz w:val="20"/>
        </w:rPr>
      </w:pPr>
      <w:r w:rsidRPr="009F78BD">
        <w:rPr>
          <w:rFonts w:ascii="標楷體" w:eastAsia="標楷體" w:hAnsi="標楷體" w:hint="eastAsia"/>
          <w:sz w:val="20"/>
        </w:rPr>
        <w:t>註：</w:t>
      </w:r>
    </w:p>
    <w:p w:rsidR="009F78BD" w:rsidRPr="009F78BD" w:rsidRDefault="009F78BD" w:rsidP="009F78BD">
      <w:pPr>
        <w:spacing w:line="240" w:lineRule="atLeast"/>
        <w:ind w:firstLine="357"/>
        <w:jc w:val="both"/>
        <w:rPr>
          <w:rFonts w:ascii="標楷體" w:eastAsia="標楷體" w:hAnsi="標楷體" w:cs="Arial"/>
          <w:sz w:val="20"/>
        </w:rPr>
      </w:pPr>
      <w:r w:rsidRPr="009F78BD">
        <w:rPr>
          <w:rFonts w:ascii="標楷體" w:eastAsia="標楷體" w:hAnsi="標楷體" w:cs="Arial" w:hint="eastAsia"/>
          <w:sz w:val="20"/>
        </w:rPr>
        <w:t>工作頻帶之檢測頻道至少應於前、中、後頻段中各選一個合適頻道量測。</w:t>
      </w:r>
    </w:p>
    <w:p w:rsidR="009F78BD" w:rsidRPr="009F78BD" w:rsidRDefault="009F78BD" w:rsidP="009F78BD">
      <w:pPr>
        <w:spacing w:line="240" w:lineRule="atLeast"/>
        <w:jc w:val="center"/>
        <w:rPr>
          <w:rFonts w:ascii="標楷體" w:eastAsia="標楷體" w:hAnsi="標楷體"/>
        </w:rPr>
      </w:pPr>
    </w:p>
    <w:p w:rsidR="009F78BD" w:rsidRPr="009F78BD" w:rsidRDefault="009F78BD" w:rsidP="009F78BD">
      <w:pPr>
        <w:spacing w:line="240" w:lineRule="atLeast"/>
        <w:jc w:val="center"/>
        <w:rPr>
          <w:rFonts w:ascii="標楷體" w:eastAsia="標楷體" w:hAnsi="標楷體"/>
        </w:rPr>
      </w:pPr>
    </w:p>
    <w:p w:rsidR="009F78BD" w:rsidRPr="009F78BD" w:rsidRDefault="00487171" w:rsidP="009F78BD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2079" style="position:absolute;margin-left:66.3pt;margin-top:8.25pt;width:294pt;height:161.8pt;z-index:251661312" coordorigin="2324,9577" coordsize="5880,3236">
            <v:group id="_x0000_s2080" style="position:absolute;left:2352;top:10802;width:5467;height:1205" coordorigin="2352,10802" coordsize="5467,120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1" type="#_x0000_t202" style="position:absolute;left:3752;top:10812;width:840;height:540" strokecolor="white">
                <v:textbox style="mso-next-textbox:#_x0000_s2081">
                  <w:txbxContent>
                    <w:p w:rsidR="009F78BD" w:rsidRPr="00B41BA1" w:rsidRDefault="009F78BD" w:rsidP="009F78BD">
                      <w:pPr>
                        <w:rPr>
                          <w:sz w:val="20"/>
                        </w:rPr>
                      </w:pPr>
                      <w:r w:rsidRPr="00B41BA1">
                        <w:rPr>
                          <w:rFonts w:hint="eastAsia"/>
                          <w:sz w:val="20"/>
                        </w:rPr>
                        <w:t>-600</w:t>
                      </w:r>
                    </w:p>
                  </w:txbxContent>
                </v:textbox>
              </v:shape>
              <v:shape id="_x0000_s2082" type="#_x0000_t202" style="position:absolute;left:5552;top:10802;width:1310;height:540" strokecolor="white">
                <v:textbox style="mso-next-textbox:#_x0000_s2082">
                  <w:txbxContent>
                    <w:p w:rsidR="009F78BD" w:rsidRPr="00B41BA1" w:rsidRDefault="009F78BD" w:rsidP="009F78BD">
                      <w:pPr>
                        <w:rPr>
                          <w:sz w:val="20"/>
                        </w:rPr>
                      </w:pPr>
                      <w:r w:rsidRPr="00B41BA1">
                        <w:rPr>
                          <w:rFonts w:hint="eastAsia"/>
                          <w:sz w:val="20"/>
                        </w:rPr>
                        <w:t>+600</w:t>
                      </w:r>
                    </w:p>
                  </w:txbxContent>
                </v:textbox>
              </v:shape>
              <v:line id="_x0000_s2083" style="position:absolute" from="2352,12007" to="7819,12007"/>
            </v:group>
            <v:group id="_x0000_s2084" style="position:absolute;left:2324;top:9577;width:5880;height:3236" coordorigin="1085,2337" coordsize="5880,3236">
              <v:group id="_x0000_s2085" style="position:absolute;left:1085;top:2337;width:5880;height:3236" coordorigin="1085,2337" coordsize="5880,3236">
                <v:shape id="_x0000_s2086" type="#_x0000_t202" style="position:absolute;left:2760;top:2337;width:2488;height:516" strokecolor="white">
                  <v:textbox style="mso-next-textbox:#_x0000_s2086">
                    <w:txbxContent>
                      <w:p w:rsidR="009F78BD" w:rsidRPr="009F78BD" w:rsidRDefault="009F78BD" w:rsidP="009F78BD">
                        <w:pPr>
                          <w:ind w:firstLineChars="100" w:firstLine="200"/>
                          <w:rPr>
                            <w:rFonts w:ascii="Arial Unicode MS" w:eastAsia="Arial Unicode MS" w:hAnsi="Arial Unicode MS" w:cs="Arial Unicode MS"/>
                            <w:sz w:val="20"/>
                          </w:rPr>
                        </w:pPr>
                        <w:r w:rsidRPr="009F78BD">
                          <w:rPr>
                            <w:rFonts w:ascii="Arial Unicode MS" w:eastAsia="Arial Unicode MS" w:hAnsi="Arial Unicode MS" w:cs="Arial Unicode MS"/>
                            <w:sz w:val="20"/>
                          </w:rPr>
                          <w:t>Carrier Frequency</w:t>
                        </w:r>
                      </w:p>
                      <w:p w:rsidR="009F78BD" w:rsidRDefault="009F78BD" w:rsidP="009F78BD"/>
                    </w:txbxContent>
                  </v:textbox>
                </v:shape>
                <v:shape id="_x0000_s2087" type="#_x0000_t202" style="position:absolute;left:2040;top:2838;width:1320;height:540" strokecolor="white">
                  <v:textbox style="mso-next-textbox:#_x0000_s2087">
                    <w:txbxContent>
                      <w:p w:rsidR="009F78BD" w:rsidRPr="00B41BA1" w:rsidRDefault="009F78BD" w:rsidP="009F78BD">
                        <w:pPr>
                          <w:rPr>
                            <w:sz w:val="20"/>
                          </w:rPr>
                        </w:pPr>
                        <w:r w:rsidRPr="00B41BA1">
                          <w:rPr>
                            <w:rFonts w:hint="eastAsia"/>
                            <w:sz w:val="20"/>
                          </w:rPr>
                          <w:t>-900</w:t>
                        </w:r>
                      </w:p>
                    </w:txbxContent>
                  </v:textbox>
                </v:shape>
                <v:shape id="_x0000_s2088" type="#_x0000_t202" style="position:absolute;left:4440;top:2838;width:1320;height:540" strokecolor="white">
                  <v:textbox style="mso-next-textbox:#_x0000_s2088">
                    <w:txbxContent>
                      <w:p w:rsidR="009F78BD" w:rsidRPr="00B41BA1" w:rsidRDefault="009F78BD" w:rsidP="009F78BD">
                        <w:pPr>
                          <w:ind w:firstLineChars="100" w:firstLine="200"/>
                          <w:rPr>
                            <w:sz w:val="20"/>
                          </w:rPr>
                        </w:pPr>
                        <w:r w:rsidRPr="00B41BA1">
                          <w:rPr>
                            <w:rFonts w:hint="eastAsia"/>
                            <w:sz w:val="20"/>
                          </w:rPr>
                          <w:t>+900</w:t>
                        </w:r>
                      </w:p>
                    </w:txbxContent>
                  </v:textbox>
                </v:shape>
                <v:shape id="_x0000_s2089" type="#_x0000_t202" style="position:absolute;left:1085;top:4865;width:894;height:693" stroked="f">
                  <v:textbox style="mso-next-textbox:#_x0000_s2089">
                    <w:txbxContent>
                      <w:p w:rsidR="009F78BD" w:rsidRDefault="009F78BD" w:rsidP="009F78BD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±</w:t>
                        </w:r>
                        <w:r>
                          <w:rPr>
                            <w:rFonts w:hint="eastAsia"/>
                            <w:sz w:val="16"/>
                          </w:rPr>
                          <w:t>96kHz</w:t>
                        </w:r>
                      </w:p>
                      <w:p w:rsidR="009F78BD" w:rsidRDefault="009F78BD" w:rsidP="009F78BD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 xml:space="preserve">250nW </w:t>
                        </w:r>
                        <w:r>
                          <w:rPr>
                            <w:sz w:val="16"/>
                          </w:rPr>
                          <w:t>max.</w:t>
                        </w:r>
                      </w:p>
                    </w:txbxContent>
                  </v:textbox>
                </v:shape>
                <v:shape id="_x0000_s2090" type="#_x0000_t202" style="position:absolute;left:2045;top:4850;width:836;height:692" stroked="f">
                  <v:textbox style="mso-next-textbox:#_x0000_s2090">
                    <w:txbxContent>
                      <w:p w:rsidR="009F78BD" w:rsidRDefault="009F78BD" w:rsidP="009F78BD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±</w:t>
                        </w:r>
                        <w:r>
                          <w:rPr>
                            <w:rFonts w:hint="eastAsia"/>
                            <w:sz w:val="16"/>
                          </w:rPr>
                          <w:t>96kHz</w:t>
                        </w:r>
                      </w:p>
                      <w:p w:rsidR="009F78BD" w:rsidRDefault="009F78BD" w:rsidP="009F78BD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 xml:space="preserve">800nW </w:t>
                        </w:r>
                        <w:r>
                          <w:rPr>
                            <w:sz w:val="16"/>
                          </w:rPr>
                          <w:t>max.</w:t>
                        </w:r>
                      </w:p>
                    </w:txbxContent>
                  </v:textbox>
                </v:shape>
                <v:shape id="_x0000_s2091" type="#_x0000_t202" style="position:absolute;left:6071;top:4858;width:894;height:692" stroked="f">
                  <v:textbox style="mso-next-textbox:#_x0000_s2091">
                    <w:txbxContent>
                      <w:p w:rsidR="009F78BD" w:rsidRDefault="009F78BD" w:rsidP="009F78BD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±</w:t>
                        </w:r>
                        <w:r>
                          <w:rPr>
                            <w:rFonts w:hint="eastAsia"/>
                            <w:sz w:val="16"/>
                          </w:rPr>
                          <w:t>96kHz</w:t>
                        </w:r>
                      </w:p>
                      <w:p w:rsidR="009F78BD" w:rsidRDefault="009F78BD" w:rsidP="009F78BD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 xml:space="preserve">250nW </w:t>
                        </w:r>
                        <w:r>
                          <w:rPr>
                            <w:sz w:val="16"/>
                          </w:rPr>
                          <w:t>max.</w:t>
                        </w:r>
                      </w:p>
                    </w:txbxContent>
                  </v:textbox>
                </v:shape>
                <v:shape id="_x0000_s2092" type="#_x0000_t202" style="position:absolute;left:5103;top:4881;width:865;height:692" stroked="f">
                  <v:textbox style="mso-next-textbox:#_x0000_s2092">
                    <w:txbxContent>
                      <w:p w:rsidR="009F78BD" w:rsidRDefault="009F78BD" w:rsidP="009F78BD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±</w:t>
                        </w:r>
                        <w:r>
                          <w:rPr>
                            <w:rFonts w:hint="eastAsia"/>
                            <w:sz w:val="16"/>
                          </w:rPr>
                          <w:t>96kHz</w:t>
                        </w:r>
                      </w:p>
                      <w:p w:rsidR="009F78BD" w:rsidRDefault="009F78BD" w:rsidP="009F78BD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800nW</w:t>
                        </w:r>
                        <w:r>
                          <w:rPr>
                            <w:sz w:val="16"/>
                          </w:rPr>
                          <w:t xml:space="preserve"> max.</w:t>
                        </w:r>
                      </w:p>
                    </w:txbxContent>
                  </v:textbox>
                </v:shape>
                <v:shape id="_x0000_s2093" type="#_x0000_t202" style="position:absolute;left:2432;top:3185;width:553;height:346" stroked="f">
                  <v:textbox style="mso-next-textbox:#_x0000_s2093">
                    <w:txbxContent>
                      <w:p w:rsidR="009F78BD" w:rsidRDefault="009F78BD" w:rsidP="009F78BD">
                        <w:pPr>
                          <w:spacing w:line="0" w:lineRule="atLeast"/>
                        </w:pPr>
                      </w:p>
                    </w:txbxContent>
                  </v:textbox>
                </v:shape>
                <v:shape id="_x0000_s2094" type="#_x0000_t202" style="position:absolute;left:4824;top:3185;width:552;height:346" stroked="f">
                  <v:textbox style="mso-next-textbox:#_x0000_s2094">
                    <w:txbxContent>
                      <w:p w:rsidR="009F78BD" w:rsidRDefault="009F78BD" w:rsidP="009F78BD">
                        <w:pPr>
                          <w:spacing w:line="0" w:lineRule="atLeast"/>
                        </w:pPr>
                      </w:p>
                    </w:txbxContent>
                  </v:textbox>
                </v:shape>
                <v:shape id="_x0000_s2095" type="#_x0000_t202" style="position:absolute;left:2859;top:3915;width:464;height:347" stroked="f">
                  <v:textbox style="mso-next-textbox:#_x0000_s2095">
                    <w:txbxContent>
                      <w:p w:rsidR="009F78BD" w:rsidRPr="00196388" w:rsidRDefault="009F78BD" w:rsidP="009F78BD"/>
                    </w:txbxContent>
                  </v:textbox>
                </v:shape>
                <v:rect id="_x0000_s2096" style="position:absolute;left:3589;top:3204;width:529;height:1558" fillcolor="black">
                  <v:fill r:id="rId8" o:title="10%" type="pattern"/>
                </v:rect>
                <v:rect id="_x0000_s2097" style="position:absolute;left:2092;top:4396;width:529;height:366" fillcolor="black">
                  <v:fill r:id="rId8" o:title="10%" type="pattern"/>
                </v:rect>
                <v:rect id="_x0000_s2098" style="position:absolute;left:1120;top:4550;width:529;height:212" fillcolor="black">
                  <v:fill r:id="rId8" o:title="10%" type="pattern"/>
                </v:rect>
                <v:rect id="_x0000_s2099" style="position:absolute;left:5101;top:4396;width:529;height:366" fillcolor="black">
                  <v:fill r:id="rId8" o:title="10%" type="pattern"/>
                </v:rect>
                <v:rect id="_x0000_s2100" style="position:absolute;left:6058;top:4550;width:529;height:212" fillcolor="black">
                  <v:fill r:id="rId8" o:title="10%" type="pattern"/>
                </v:rect>
                <v:line id="_x0000_s2101" style="position:absolute" from="1372,3185" to="1372,4762">
                  <v:stroke dashstyle="dash"/>
                </v:line>
                <v:line id="_x0000_s2102" style="position:absolute" from="6323,3185" to="6323,4762">
                  <v:stroke dashstyle="dash"/>
                </v:line>
                <v:line id="_x0000_s2103" style="position:absolute;flip:y" from="5365,4031" to="5365,4762">
                  <v:stroke dashstyle="dash"/>
                </v:line>
                <v:line id="_x0000_s2104" style="position:absolute" from="3854,2877" to="3854,4762">
                  <v:stroke dashstyle="dash"/>
                </v:line>
                <v:line id="_x0000_s2105" style="position:absolute" from="1372,3512" to="3589,3512">
                  <v:stroke startarrow="block"/>
                </v:line>
                <v:line id="_x0000_s2106" style="position:absolute" from="4131,3512" to="6323,3512">
                  <v:stroke endarrow="block"/>
                </v:line>
                <v:line id="_x0000_s2107" style="position:absolute;flip:x" from="2382,4192" to="3587,4208">
                  <v:stroke endarrow="block"/>
                </v:line>
                <v:line id="_x0000_s2108" style="position:absolute;flip:x" from="4131,4208" to="5368,4223">
                  <v:stroke startarrow="block"/>
                </v:line>
                <v:shape id="_x0000_s2109" type="#_x0000_t202" style="position:absolute;left:3178;top:4858;width:1302;height:692" stroked="f">
                  <v:textbox style="mso-next-textbox:#_x0000_s2109">
                    <w:txbxContent>
                      <w:p w:rsidR="009F78BD" w:rsidRPr="00671355" w:rsidRDefault="009F78BD" w:rsidP="009F78BD">
                        <w:pPr>
                          <w:spacing w:line="0" w:lineRule="atLeast"/>
                          <w:jc w:val="center"/>
                          <w:rPr>
                            <w:sz w:val="16"/>
                          </w:rPr>
                        </w:pPr>
                        <w:r w:rsidRPr="00671355">
                          <w:rPr>
                            <w:sz w:val="16"/>
                          </w:rPr>
                          <w:t>±96kHz</w:t>
                        </w:r>
                      </w:p>
                      <w:p w:rsidR="009F78BD" w:rsidRPr="00671355" w:rsidRDefault="009F78BD" w:rsidP="009F78BD">
                        <w:pPr>
                          <w:pStyle w:val="a8"/>
                          <w:rPr>
                            <w:rFonts w:ascii="Times New Roman" w:hAnsi="Times New Roman"/>
                          </w:rPr>
                        </w:pPr>
                        <w:r w:rsidRPr="00671355">
                          <w:rPr>
                            <w:rFonts w:ascii="Times New Roman" w:hAnsi="Times New Roman"/>
                          </w:rPr>
                          <w:t>transmitted power</w:t>
                        </w:r>
                      </w:p>
                    </w:txbxContent>
                  </v:textbox>
                </v:shape>
              </v:group>
              <v:line id="_x0000_s2110" style="position:absolute;flip:y" from="2367,4031" to="2367,4762">
                <v:stroke dashstyle="dash"/>
              </v:line>
            </v:group>
          </v:group>
        </w:pict>
      </w:r>
    </w:p>
    <w:p w:rsidR="009F78BD" w:rsidRPr="009F78BD" w:rsidRDefault="009F78BD" w:rsidP="009F78BD">
      <w:pPr>
        <w:spacing w:line="240" w:lineRule="atLeast"/>
        <w:rPr>
          <w:rFonts w:ascii="標楷體" w:eastAsia="標楷體" w:hAnsi="標楷體"/>
        </w:rPr>
      </w:pPr>
    </w:p>
    <w:p w:rsidR="009F78BD" w:rsidRPr="009F78BD" w:rsidRDefault="009F78BD" w:rsidP="009F78BD">
      <w:pPr>
        <w:spacing w:line="240" w:lineRule="atLeast"/>
        <w:rPr>
          <w:rFonts w:ascii="標楷體" w:eastAsia="標楷體" w:hAnsi="標楷體"/>
        </w:rPr>
      </w:pPr>
    </w:p>
    <w:p w:rsidR="009F78BD" w:rsidRPr="009F78BD" w:rsidRDefault="009F78BD" w:rsidP="009F78BD">
      <w:pPr>
        <w:spacing w:line="240" w:lineRule="atLeast"/>
        <w:rPr>
          <w:rFonts w:ascii="標楷體" w:eastAsia="標楷體" w:hAnsi="標楷體"/>
        </w:rPr>
      </w:pPr>
    </w:p>
    <w:p w:rsidR="009F78BD" w:rsidRPr="009F78BD" w:rsidRDefault="00487171" w:rsidP="009F78BD">
      <w:pPr>
        <w:spacing w:line="240" w:lineRule="atLeast"/>
        <w:rPr>
          <w:rFonts w:ascii="標楷體" w:eastAsia="標楷體" w:hAnsi="標楷體"/>
        </w:rPr>
      </w:pPr>
      <w:r w:rsidRPr="00487171">
        <w:rPr>
          <w:rFonts w:ascii="標楷體" w:eastAsia="標楷體" w:hAnsi="標楷體"/>
          <w:noProof/>
          <w:sz w:val="20"/>
        </w:rPr>
        <w:pict>
          <v:shape id="_x0000_s2078" type="#_x0000_t202" style="position:absolute;margin-left:194.5pt;margin-top:15.4pt;width:26.45pt;height:17.35pt;z-index:251660288" stroked="f">
            <v:textbox style="mso-next-textbox:#_x0000_s2078">
              <w:txbxContent>
                <w:p w:rsidR="009F78BD" w:rsidRDefault="009F78BD" w:rsidP="009F78BD">
                  <w:pPr>
                    <w:spacing w:line="0" w:lineRule="atLeast"/>
                  </w:pPr>
                </w:p>
              </w:txbxContent>
            </v:textbox>
          </v:shape>
        </w:pict>
      </w:r>
    </w:p>
    <w:p w:rsidR="009F78BD" w:rsidRPr="009F78BD" w:rsidRDefault="009F78BD" w:rsidP="009F78BD">
      <w:pPr>
        <w:spacing w:line="240" w:lineRule="atLeast"/>
        <w:rPr>
          <w:rFonts w:ascii="標楷體" w:eastAsia="標楷體" w:hAnsi="標楷體"/>
        </w:rPr>
      </w:pPr>
    </w:p>
    <w:p w:rsidR="009F78BD" w:rsidRPr="009F78BD" w:rsidRDefault="009F78BD" w:rsidP="009F78BD">
      <w:pPr>
        <w:spacing w:line="240" w:lineRule="atLeast"/>
        <w:rPr>
          <w:rFonts w:ascii="標楷體" w:eastAsia="標楷體" w:hAnsi="標楷體"/>
        </w:rPr>
      </w:pPr>
    </w:p>
    <w:p w:rsidR="009F78BD" w:rsidRPr="009F78BD" w:rsidRDefault="009F78BD" w:rsidP="009F78BD">
      <w:pPr>
        <w:spacing w:line="240" w:lineRule="atLeast"/>
        <w:rPr>
          <w:rFonts w:ascii="標楷體" w:eastAsia="標楷體" w:hAnsi="標楷體"/>
        </w:rPr>
      </w:pPr>
    </w:p>
    <w:p w:rsidR="009F78BD" w:rsidRPr="009F78BD" w:rsidRDefault="009F78BD" w:rsidP="009F78BD">
      <w:pPr>
        <w:spacing w:line="240" w:lineRule="atLeast"/>
        <w:jc w:val="right"/>
        <w:rPr>
          <w:rFonts w:ascii="標楷體" w:eastAsia="標楷體" w:hAnsi="標楷體"/>
        </w:rPr>
      </w:pPr>
    </w:p>
    <w:p w:rsidR="009F78BD" w:rsidRPr="009F78BD" w:rsidRDefault="009F78BD" w:rsidP="009F78BD">
      <w:pPr>
        <w:spacing w:line="240" w:lineRule="atLeast"/>
        <w:jc w:val="right"/>
        <w:rPr>
          <w:rFonts w:ascii="標楷體" w:eastAsia="標楷體" w:hAnsi="標楷體"/>
        </w:rPr>
      </w:pPr>
    </w:p>
    <w:p w:rsidR="009F78BD" w:rsidRPr="009F78BD" w:rsidRDefault="009F78BD" w:rsidP="009F78BD">
      <w:pPr>
        <w:pStyle w:val="CM2"/>
        <w:autoSpaceDE/>
        <w:autoSpaceDN/>
        <w:adjustRightInd/>
        <w:spacing w:line="240" w:lineRule="atLeast"/>
        <w:jc w:val="center"/>
        <w:rPr>
          <w:rFonts w:ascii="標楷體" w:eastAsia="標楷體" w:hAnsi="標楷體" w:cs="Arial"/>
        </w:rPr>
      </w:pPr>
      <w:r w:rsidRPr="009F78BD">
        <w:rPr>
          <w:rFonts w:ascii="標楷體" w:eastAsia="標楷體" w:hAnsi="標楷體" w:cs="Arial" w:hint="eastAsia"/>
        </w:rPr>
        <w:t>圖一 發射射頻頻譜圖</w:t>
      </w:r>
    </w:p>
    <w:p w:rsidR="009F78BD" w:rsidRPr="009F78BD" w:rsidRDefault="009F78BD" w:rsidP="009F78BD">
      <w:pPr>
        <w:rPr>
          <w:rFonts w:ascii="標楷體" w:eastAsia="標楷體" w:hAnsi="標楷體"/>
        </w:rPr>
      </w:pPr>
    </w:p>
    <w:p w:rsidR="009F78BD" w:rsidRPr="009F78BD" w:rsidRDefault="009F78BD" w:rsidP="002A006F">
      <w:pPr>
        <w:spacing w:afterLines="50"/>
        <w:rPr>
          <w:rFonts w:ascii="標楷體" w:eastAsia="標楷體" w:hAnsi="標楷體"/>
          <w:b/>
          <w:szCs w:val="24"/>
        </w:rPr>
      </w:pPr>
      <w:r w:rsidRPr="009F78BD">
        <w:rPr>
          <w:rFonts w:ascii="標楷體" w:eastAsia="標楷體" w:hAnsi="標楷體"/>
        </w:rPr>
        <w:br w:type="page"/>
      </w:r>
      <w:r w:rsidRPr="009F78BD">
        <w:rPr>
          <w:rFonts w:ascii="標楷體" w:eastAsia="標楷體" w:hAnsi="標楷體" w:hint="eastAsia"/>
          <w:b/>
          <w:szCs w:val="24"/>
        </w:rPr>
        <w:lastRenderedPageBreak/>
        <w:t>二 、</w:t>
      </w:r>
      <w:r w:rsidRPr="009F78BD">
        <w:rPr>
          <w:rFonts w:ascii="標楷體" w:eastAsia="標楷體" w:hAnsi="標楷體" w:hint="eastAsia"/>
          <w:szCs w:val="24"/>
        </w:rPr>
        <w:t>寬頻通道系統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245"/>
      </w:tblGrid>
      <w:tr w:rsidR="009F78BD" w:rsidRPr="009F78BD" w:rsidTr="002A786A">
        <w:trPr>
          <w:trHeight w:val="439"/>
        </w:trPr>
        <w:tc>
          <w:tcPr>
            <w:tcW w:w="3828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F78BD">
              <w:rPr>
                <w:rFonts w:ascii="標楷體" w:eastAsia="標楷體" w:hAnsi="標楷體" w:hint="eastAsia"/>
                <w:b/>
                <w:sz w:val="20"/>
              </w:rPr>
              <w:t>測試項目</w:t>
            </w:r>
          </w:p>
        </w:tc>
        <w:tc>
          <w:tcPr>
            <w:tcW w:w="5245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F78BD">
              <w:rPr>
                <w:rFonts w:ascii="標楷體" w:eastAsia="標楷體" w:hAnsi="標楷體" w:hint="eastAsia"/>
                <w:b/>
                <w:sz w:val="20"/>
              </w:rPr>
              <w:t>合格標準</w:t>
            </w:r>
          </w:p>
        </w:tc>
      </w:tr>
      <w:tr w:rsidR="009F78BD" w:rsidRPr="009F78BD" w:rsidTr="002A786A">
        <w:trPr>
          <w:trHeight w:val="404"/>
        </w:trPr>
        <w:tc>
          <w:tcPr>
            <w:tcW w:w="3828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工作頻帶</w:t>
            </w:r>
          </w:p>
        </w:tc>
        <w:tc>
          <w:tcPr>
            <w:tcW w:w="5245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/>
                <w:sz w:val="20"/>
              </w:rPr>
              <w:t>190</w:t>
            </w:r>
            <w:r w:rsidRPr="009F78BD">
              <w:rPr>
                <w:rFonts w:ascii="標楷體" w:eastAsia="標楷體" w:hAnsi="標楷體" w:hint="eastAsia"/>
                <w:sz w:val="20"/>
              </w:rPr>
              <w:t>5～</w:t>
            </w:r>
            <w:r w:rsidRPr="009F78BD">
              <w:rPr>
                <w:rFonts w:ascii="標楷體" w:eastAsia="標楷體" w:hAnsi="標楷體"/>
                <w:sz w:val="20"/>
              </w:rPr>
              <w:t>1915MHz</w:t>
            </w:r>
          </w:p>
        </w:tc>
      </w:tr>
      <w:tr w:rsidR="009F78BD" w:rsidRPr="009F78BD" w:rsidTr="002A786A">
        <w:trPr>
          <w:trHeight w:val="423"/>
        </w:trPr>
        <w:tc>
          <w:tcPr>
            <w:tcW w:w="3828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頻道間隔</w:t>
            </w:r>
          </w:p>
        </w:tc>
        <w:tc>
          <w:tcPr>
            <w:tcW w:w="5245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5MHz 或 10MHz</w:t>
            </w:r>
          </w:p>
        </w:tc>
      </w:tr>
      <w:tr w:rsidR="009F78BD" w:rsidRPr="009F78BD" w:rsidTr="002A786A">
        <w:trPr>
          <w:trHeight w:val="684"/>
        </w:trPr>
        <w:tc>
          <w:tcPr>
            <w:tcW w:w="3828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射頻單體最大輸出功率（</w:t>
            </w:r>
            <w:r w:rsidRPr="009F78BD">
              <w:rPr>
                <w:rFonts w:ascii="標楷體" w:eastAsia="標楷體" w:hAnsi="標楷體"/>
                <w:sz w:val="20"/>
              </w:rPr>
              <w:t>P</w:t>
            </w:r>
            <w:r w:rsidRPr="009F78BD">
              <w:rPr>
                <w:rFonts w:ascii="標楷體" w:eastAsia="標楷體" w:hAnsi="標楷體"/>
                <w:sz w:val="20"/>
                <w:vertAlign w:val="subscript"/>
              </w:rPr>
              <w:t>O</w:t>
            </w:r>
            <w:r w:rsidRPr="009F78BD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5245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射頻單體之輸出功率加計天線增益後，其天線發射之最大有效等向輻射功率（</w:t>
            </w:r>
            <w:r w:rsidRPr="009F78BD">
              <w:rPr>
                <w:rFonts w:ascii="標楷體" w:eastAsia="標楷體" w:hAnsi="標楷體"/>
                <w:sz w:val="20"/>
              </w:rPr>
              <w:t>EIRP</w:t>
            </w:r>
            <w:r w:rsidRPr="009F78BD">
              <w:rPr>
                <w:rFonts w:ascii="標楷體" w:eastAsia="標楷體" w:hAnsi="標楷體" w:hint="eastAsia"/>
                <w:sz w:val="20"/>
              </w:rPr>
              <w:t>）不得超過32</w:t>
            </w:r>
            <w:r w:rsidRPr="009F78BD">
              <w:rPr>
                <w:rFonts w:ascii="標楷體" w:eastAsia="標楷體" w:hAnsi="標楷體"/>
                <w:sz w:val="20"/>
              </w:rPr>
              <w:t>W</w:t>
            </w:r>
            <w:r w:rsidRPr="009F78BD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9F78BD" w:rsidRPr="009F78BD" w:rsidTr="002A786A">
        <w:trPr>
          <w:trHeight w:val="425"/>
        </w:trPr>
        <w:tc>
          <w:tcPr>
            <w:tcW w:w="3828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頻率穩定度</w:t>
            </w:r>
          </w:p>
        </w:tc>
        <w:tc>
          <w:tcPr>
            <w:tcW w:w="5245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載波中心頻率＜±</w:t>
            </w:r>
            <w:r w:rsidRPr="009F78BD">
              <w:rPr>
                <w:rFonts w:ascii="標楷體" w:eastAsia="標楷體" w:hAnsi="標楷體"/>
                <w:sz w:val="20"/>
              </w:rPr>
              <w:t>3ppm</w:t>
            </w:r>
          </w:p>
        </w:tc>
      </w:tr>
      <w:tr w:rsidR="009F78BD" w:rsidRPr="009F78BD" w:rsidTr="002A786A">
        <w:trPr>
          <w:trHeight w:val="2259"/>
        </w:trPr>
        <w:tc>
          <w:tcPr>
            <w:tcW w:w="3828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鄰近通道功率</w:t>
            </w:r>
          </w:p>
        </w:tc>
        <w:tc>
          <w:tcPr>
            <w:tcW w:w="5245" w:type="dxa"/>
            <w:vAlign w:val="center"/>
          </w:tcPr>
          <w:p w:rsidR="009F78BD" w:rsidRPr="009F78BD" w:rsidRDefault="009F78BD" w:rsidP="009F78BD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通道頻寬5MHz</w:t>
            </w:r>
          </w:p>
          <w:p w:rsidR="009F78BD" w:rsidRPr="009F78BD" w:rsidRDefault="009F78BD" w:rsidP="009F78BD">
            <w:pPr>
              <w:snapToGrid w:val="0"/>
              <w:spacing w:line="240" w:lineRule="atLeast"/>
              <w:ind w:left="420"/>
              <w:jc w:val="both"/>
              <w:rPr>
                <w:rFonts w:ascii="標楷體" w:eastAsia="標楷體" w:hAnsi="標楷體" w:cs="Arial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頻帶介於距載波中心頻率5MHz±2.5MHz：≦3dBm。</w:t>
            </w:r>
          </w:p>
          <w:p w:rsidR="009F78BD" w:rsidRPr="009F78BD" w:rsidRDefault="009F78BD" w:rsidP="009F78BD">
            <w:pPr>
              <w:snapToGrid w:val="0"/>
              <w:spacing w:line="240" w:lineRule="atLeast"/>
              <w:ind w:left="420"/>
              <w:jc w:val="both"/>
              <w:rPr>
                <w:rFonts w:ascii="標楷體" w:eastAsia="標楷體" w:hAnsi="標楷體" w:cs="Arial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頻帶介於距載波中心頻率7.5MHz~12.5MHz：≦-15.7dBm/MHz。</w:t>
            </w:r>
          </w:p>
          <w:p w:rsidR="009F78BD" w:rsidRPr="009F78BD" w:rsidRDefault="009F78BD" w:rsidP="009F78BD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通道頻寬10MHz</w:t>
            </w:r>
          </w:p>
          <w:p w:rsidR="009F78BD" w:rsidRPr="009F78BD" w:rsidRDefault="009F78BD" w:rsidP="009F78BD">
            <w:pPr>
              <w:snapToGrid w:val="0"/>
              <w:spacing w:line="240" w:lineRule="atLeast"/>
              <w:ind w:left="420"/>
              <w:jc w:val="both"/>
              <w:rPr>
                <w:rFonts w:ascii="標楷體" w:eastAsia="標楷體" w:hAnsi="標楷體" w:cs="Arial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頻帶介於距載波中心頻率10MHz±5MHz：≦3dBm。</w:t>
            </w:r>
          </w:p>
          <w:p w:rsidR="009F78BD" w:rsidRPr="009F78BD" w:rsidRDefault="009F78BD" w:rsidP="009F78BD">
            <w:pPr>
              <w:snapToGrid w:val="0"/>
              <w:spacing w:line="240" w:lineRule="atLeast"/>
              <w:ind w:left="420"/>
              <w:jc w:val="both"/>
              <w:rPr>
                <w:rFonts w:ascii="標楷體" w:eastAsia="標楷體" w:hAnsi="標楷體" w:cs="Arial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頻帶介於距載波中心頻率15MHz~25MHz：≦-22dBm/MHz。</w:t>
            </w:r>
          </w:p>
        </w:tc>
      </w:tr>
      <w:tr w:rsidR="009F78BD" w:rsidRPr="009F78BD" w:rsidTr="002A786A">
        <w:trPr>
          <w:trHeight w:val="1257"/>
        </w:trPr>
        <w:tc>
          <w:tcPr>
            <w:tcW w:w="3828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混附波輻射</w:t>
            </w:r>
          </w:p>
        </w:tc>
        <w:tc>
          <w:tcPr>
            <w:tcW w:w="5245" w:type="dxa"/>
            <w:vAlign w:val="center"/>
          </w:tcPr>
          <w:p w:rsidR="009F78BD" w:rsidRPr="009F78BD" w:rsidRDefault="009F78BD" w:rsidP="009F78B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通道頻寬為5MHz</w:t>
            </w:r>
          </w:p>
          <w:p w:rsidR="009F78BD" w:rsidRPr="009F78BD" w:rsidRDefault="009F78BD" w:rsidP="009F78BD">
            <w:pPr>
              <w:snapToGrid w:val="0"/>
              <w:spacing w:line="240" w:lineRule="atLeast"/>
              <w:ind w:left="420"/>
              <w:jc w:val="both"/>
              <w:rPr>
                <w:rFonts w:ascii="標楷體" w:eastAsia="標楷體" w:hAnsi="標楷體" w:cs="Arial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頻帶離中心頻率12.5MHz以外者，須符合表一之規定。</w:t>
            </w:r>
          </w:p>
          <w:p w:rsidR="009F78BD" w:rsidRPr="009F78BD" w:rsidRDefault="009F78BD" w:rsidP="009F78BD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通道頻寬為10MHz</w:t>
            </w:r>
            <w:r w:rsidRPr="009F78BD" w:rsidDel="00AD04CB">
              <w:rPr>
                <w:rFonts w:ascii="標楷體" w:eastAsia="標楷體" w:hAnsi="標楷體" w:cs="Arial" w:hint="eastAsia"/>
                <w:sz w:val="20"/>
              </w:rPr>
              <w:t xml:space="preserve"> </w:t>
            </w:r>
          </w:p>
          <w:p w:rsidR="009F78BD" w:rsidRPr="009F78BD" w:rsidRDefault="009F78BD" w:rsidP="009F78BD">
            <w:pPr>
              <w:snapToGrid w:val="0"/>
              <w:spacing w:line="240" w:lineRule="atLeast"/>
              <w:ind w:left="420"/>
              <w:jc w:val="both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cs="Arial" w:hint="eastAsia"/>
                <w:sz w:val="20"/>
              </w:rPr>
              <w:t>頻帶離中心頻率25MHz以外者，須符合表一之規定。</w:t>
            </w:r>
          </w:p>
        </w:tc>
      </w:tr>
      <w:tr w:rsidR="009F78BD" w:rsidRPr="009F78BD" w:rsidTr="002A786A">
        <w:trPr>
          <w:trHeight w:val="567"/>
        </w:trPr>
        <w:tc>
          <w:tcPr>
            <w:tcW w:w="3828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電磁相容(EMC)</w:t>
            </w:r>
          </w:p>
        </w:tc>
        <w:tc>
          <w:tcPr>
            <w:tcW w:w="5245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CNS13438</w:t>
            </w:r>
          </w:p>
        </w:tc>
      </w:tr>
      <w:tr w:rsidR="009F78BD" w:rsidRPr="009F78BD" w:rsidTr="002A786A">
        <w:trPr>
          <w:trHeight w:val="547"/>
        </w:trPr>
        <w:tc>
          <w:tcPr>
            <w:tcW w:w="3828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電氣安全(Safety)</w:t>
            </w:r>
          </w:p>
        </w:tc>
        <w:tc>
          <w:tcPr>
            <w:tcW w:w="5245" w:type="dxa"/>
            <w:vAlign w:val="center"/>
          </w:tcPr>
          <w:p w:rsidR="009F78BD" w:rsidRPr="009F78BD" w:rsidRDefault="009F78BD" w:rsidP="009F78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F78BD">
              <w:rPr>
                <w:rFonts w:ascii="標楷體" w:eastAsia="標楷體" w:hAnsi="標楷體" w:hint="eastAsia"/>
                <w:sz w:val="20"/>
              </w:rPr>
              <w:t>CNS14336-1</w:t>
            </w:r>
          </w:p>
        </w:tc>
      </w:tr>
    </w:tbl>
    <w:p w:rsidR="009F78BD" w:rsidRDefault="009F78BD" w:rsidP="002A006F">
      <w:pPr>
        <w:spacing w:beforeLines="50" w:line="240" w:lineRule="atLeast"/>
        <w:ind w:leftChars="147" w:left="1453" w:hangingChars="550" w:hanging="1100"/>
        <w:jc w:val="center"/>
        <w:rPr>
          <w:rFonts w:ascii="標楷體" w:eastAsia="標楷體" w:hAnsi="標楷體"/>
          <w:sz w:val="20"/>
          <w:szCs w:val="20"/>
        </w:rPr>
      </w:pPr>
    </w:p>
    <w:p w:rsidR="00C164BF" w:rsidRPr="00C164BF" w:rsidRDefault="00C164BF" w:rsidP="002A006F">
      <w:pPr>
        <w:spacing w:beforeLines="50" w:line="240" w:lineRule="atLeast"/>
        <w:ind w:leftChars="147" w:left="1453" w:hangingChars="550" w:hanging="1100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a"/>
        <w:tblW w:w="0" w:type="auto"/>
        <w:tblInd w:w="565" w:type="dxa"/>
        <w:tblLook w:val="04A0"/>
      </w:tblPr>
      <w:tblGrid>
        <w:gridCol w:w="3643"/>
        <w:gridCol w:w="3536"/>
      </w:tblGrid>
      <w:tr w:rsidR="00ED04DB" w:rsidRPr="00C164BF" w:rsidTr="00C164BF">
        <w:tc>
          <w:tcPr>
            <w:tcW w:w="3643" w:type="dxa"/>
          </w:tcPr>
          <w:p w:rsidR="00ED04DB" w:rsidRPr="00C164BF" w:rsidRDefault="00ED04DB" w:rsidP="009F78B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164BF">
              <w:rPr>
                <w:rFonts w:ascii="標楷體" w:eastAsia="標楷體" w:hAnsi="標楷體" w:hint="eastAsia"/>
                <w:b/>
                <w:sz w:val="20"/>
                <w:szCs w:val="20"/>
              </w:rPr>
              <w:t>頻率</w:t>
            </w:r>
          </w:p>
        </w:tc>
        <w:tc>
          <w:tcPr>
            <w:tcW w:w="3536" w:type="dxa"/>
          </w:tcPr>
          <w:p w:rsidR="00ED04DB" w:rsidRPr="00C164BF" w:rsidRDefault="00ED04DB" w:rsidP="009F78B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164BF">
              <w:rPr>
                <w:rFonts w:ascii="標楷體" w:eastAsia="標楷體" w:hAnsi="標楷體" w:hint="eastAsia"/>
                <w:b/>
                <w:sz w:val="20"/>
                <w:szCs w:val="20"/>
              </w:rPr>
              <w:t>限定值</w:t>
            </w:r>
          </w:p>
        </w:tc>
      </w:tr>
      <w:tr w:rsidR="00ED04DB" w:rsidRPr="00C164BF" w:rsidTr="00C164BF">
        <w:tc>
          <w:tcPr>
            <w:tcW w:w="3643" w:type="dxa"/>
          </w:tcPr>
          <w:p w:rsidR="00ED04DB" w:rsidRPr="00C164BF" w:rsidRDefault="00ED04DB" w:rsidP="00C164BF">
            <w:pPr>
              <w:spacing w:line="240" w:lineRule="atLeast"/>
              <w:ind w:firstLineChars="400" w:firstLine="8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>9kHz ≦ f &lt;</w:t>
            </w:r>
            <w:r w:rsidR="0039128B"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150kHz</w:t>
            </w:r>
          </w:p>
        </w:tc>
        <w:tc>
          <w:tcPr>
            <w:tcW w:w="3536" w:type="dxa"/>
          </w:tcPr>
          <w:p w:rsidR="00ED04DB" w:rsidRPr="00C164BF" w:rsidRDefault="0039128B" w:rsidP="00C164BF">
            <w:pPr>
              <w:spacing w:line="240" w:lineRule="atLeast"/>
              <w:ind w:firstLineChars="200" w:firstLine="4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>平均功率 ≦ -13dBm/1kHz</w:t>
            </w:r>
          </w:p>
        </w:tc>
      </w:tr>
      <w:tr w:rsidR="00ED04DB" w:rsidRPr="00C164BF" w:rsidTr="00C164BF">
        <w:tc>
          <w:tcPr>
            <w:tcW w:w="3643" w:type="dxa"/>
          </w:tcPr>
          <w:p w:rsidR="00ED04DB" w:rsidRPr="00C164BF" w:rsidRDefault="0039128B" w:rsidP="00C164BF">
            <w:pPr>
              <w:spacing w:line="240" w:lineRule="atLeast"/>
              <w:ind w:firstLineChars="300" w:firstLine="6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>150kHz ≦ f &lt; 30MHz</w:t>
            </w:r>
          </w:p>
        </w:tc>
        <w:tc>
          <w:tcPr>
            <w:tcW w:w="3536" w:type="dxa"/>
          </w:tcPr>
          <w:p w:rsidR="00ED04DB" w:rsidRPr="00C164BF" w:rsidRDefault="0039128B" w:rsidP="00C164BF">
            <w:pPr>
              <w:spacing w:line="240" w:lineRule="atLeast"/>
              <w:ind w:firstLineChars="200" w:firstLine="4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>平均功率 ≦ -13dBm/10kHz</w:t>
            </w:r>
          </w:p>
        </w:tc>
      </w:tr>
      <w:tr w:rsidR="00ED04DB" w:rsidRPr="00C164BF" w:rsidTr="00C164BF">
        <w:tc>
          <w:tcPr>
            <w:tcW w:w="3643" w:type="dxa"/>
          </w:tcPr>
          <w:p w:rsidR="00ED04DB" w:rsidRPr="00C164BF" w:rsidRDefault="0039128B" w:rsidP="00C164BF">
            <w:pPr>
              <w:spacing w:line="240" w:lineRule="atLeast"/>
              <w:ind w:firstLineChars="350" w:firstLine="7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>30MHz ≦ f &lt; 1000MHz</w:t>
            </w:r>
          </w:p>
        </w:tc>
        <w:tc>
          <w:tcPr>
            <w:tcW w:w="3536" w:type="dxa"/>
          </w:tcPr>
          <w:p w:rsidR="00ED04DB" w:rsidRPr="00C164BF" w:rsidRDefault="0039128B" w:rsidP="00C164BF">
            <w:pPr>
              <w:spacing w:line="240" w:lineRule="atLeast"/>
              <w:ind w:firstLineChars="200" w:firstLine="4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>平均功率 ≦ -13dBm/100kHz</w:t>
            </w:r>
          </w:p>
        </w:tc>
      </w:tr>
      <w:tr w:rsidR="00ED04DB" w:rsidRPr="00C164BF" w:rsidTr="00C164BF">
        <w:tc>
          <w:tcPr>
            <w:tcW w:w="3643" w:type="dxa"/>
          </w:tcPr>
          <w:p w:rsidR="00ED04DB" w:rsidRPr="00C164BF" w:rsidRDefault="0039128B" w:rsidP="00C164BF">
            <w:pPr>
              <w:spacing w:line="240" w:lineRule="atLeast"/>
              <w:ind w:firstLineChars="250" w:firstLine="5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>1000MHz ≦ f &lt; 2505MHz</w:t>
            </w:r>
          </w:p>
        </w:tc>
        <w:tc>
          <w:tcPr>
            <w:tcW w:w="3536" w:type="dxa"/>
          </w:tcPr>
          <w:p w:rsidR="00ED04DB" w:rsidRPr="00C164BF" w:rsidRDefault="0039128B" w:rsidP="00C164BF">
            <w:pPr>
              <w:spacing w:line="240" w:lineRule="atLeast"/>
              <w:ind w:firstLineChars="200" w:firstLine="4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>平均功率 ≦ -13dBm/1MHz</w:t>
            </w:r>
          </w:p>
        </w:tc>
      </w:tr>
      <w:tr w:rsidR="00ED04DB" w:rsidRPr="00C164BF" w:rsidTr="00C164BF">
        <w:tc>
          <w:tcPr>
            <w:tcW w:w="3643" w:type="dxa"/>
          </w:tcPr>
          <w:p w:rsidR="00ED04DB" w:rsidRPr="00C164BF" w:rsidRDefault="0039128B" w:rsidP="00C164BF">
            <w:pPr>
              <w:spacing w:line="240" w:lineRule="atLeast"/>
              <w:ind w:firstLineChars="250" w:firstLine="5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>2505MHz ≦ f &lt; 2535MHz</w:t>
            </w:r>
          </w:p>
        </w:tc>
        <w:tc>
          <w:tcPr>
            <w:tcW w:w="3536" w:type="dxa"/>
          </w:tcPr>
          <w:p w:rsidR="00ED04DB" w:rsidRPr="00C164BF" w:rsidRDefault="0039128B" w:rsidP="00C164BF">
            <w:pPr>
              <w:spacing w:line="240" w:lineRule="atLeast"/>
              <w:ind w:firstLineChars="200" w:firstLine="4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>平均功率 ≦ -42dBm/1MHz</w:t>
            </w:r>
          </w:p>
        </w:tc>
      </w:tr>
      <w:tr w:rsidR="00ED04DB" w:rsidRPr="00C164BF" w:rsidTr="00C164BF">
        <w:tc>
          <w:tcPr>
            <w:tcW w:w="3643" w:type="dxa"/>
          </w:tcPr>
          <w:p w:rsidR="00ED04DB" w:rsidRPr="00C164BF" w:rsidRDefault="0039128B" w:rsidP="00C164BF">
            <w:pPr>
              <w:spacing w:line="240" w:lineRule="atLeast"/>
              <w:ind w:firstLineChars="250" w:firstLine="5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>2535MHz ≦ f &lt; 2630MHz</w:t>
            </w:r>
          </w:p>
        </w:tc>
        <w:tc>
          <w:tcPr>
            <w:tcW w:w="3536" w:type="dxa"/>
          </w:tcPr>
          <w:p w:rsidR="00ED04DB" w:rsidRPr="00C164BF" w:rsidRDefault="0039128B" w:rsidP="00C164BF">
            <w:pPr>
              <w:spacing w:line="240" w:lineRule="atLeast"/>
              <w:ind w:firstLineChars="200" w:firstLine="4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>平均功率 ≦ -22dBm/1MHz</w:t>
            </w:r>
          </w:p>
        </w:tc>
      </w:tr>
      <w:tr w:rsidR="00ED04DB" w:rsidRPr="00C164BF" w:rsidTr="00C164BF">
        <w:tc>
          <w:tcPr>
            <w:tcW w:w="3643" w:type="dxa"/>
          </w:tcPr>
          <w:p w:rsidR="00ED04DB" w:rsidRPr="00C164BF" w:rsidRDefault="0039128B" w:rsidP="00C164BF">
            <w:pPr>
              <w:spacing w:line="240" w:lineRule="atLeast"/>
              <w:ind w:firstLineChars="250" w:firstLine="5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>2630MHz ≦ f &lt; 2655MHz</w:t>
            </w:r>
          </w:p>
        </w:tc>
        <w:tc>
          <w:tcPr>
            <w:tcW w:w="3536" w:type="dxa"/>
          </w:tcPr>
          <w:p w:rsidR="00ED04DB" w:rsidRPr="00C164BF" w:rsidRDefault="0039128B" w:rsidP="00C164BF">
            <w:pPr>
              <w:spacing w:line="240" w:lineRule="atLeast"/>
              <w:ind w:firstLineChars="200" w:firstLine="4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>平均功率 ≦ -30dBm/1MHz</w:t>
            </w:r>
          </w:p>
        </w:tc>
      </w:tr>
      <w:tr w:rsidR="0039128B" w:rsidRPr="00C164BF" w:rsidTr="00C164BF">
        <w:tc>
          <w:tcPr>
            <w:tcW w:w="3643" w:type="dxa"/>
          </w:tcPr>
          <w:p w:rsidR="0039128B" w:rsidRPr="00C164BF" w:rsidRDefault="0039128B" w:rsidP="00C164BF">
            <w:pPr>
              <w:spacing w:line="240" w:lineRule="atLeas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>f ≧ 2655MHz</w:t>
            </w:r>
          </w:p>
        </w:tc>
        <w:tc>
          <w:tcPr>
            <w:tcW w:w="3536" w:type="dxa"/>
          </w:tcPr>
          <w:p w:rsidR="0039128B" w:rsidRPr="00C164BF" w:rsidRDefault="0039128B" w:rsidP="00C164BF">
            <w:pPr>
              <w:spacing w:line="240" w:lineRule="atLeast"/>
              <w:ind w:firstLineChars="200" w:firstLine="40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164BF">
              <w:rPr>
                <w:rFonts w:ascii="標楷體" w:eastAsia="標楷體" w:hAnsi="標楷體" w:cs="Arial Unicode MS" w:hint="eastAsia"/>
                <w:sz w:val="20"/>
                <w:szCs w:val="20"/>
              </w:rPr>
              <w:t>平均功率 ≦ -13dBm/1MHz</w:t>
            </w:r>
          </w:p>
        </w:tc>
      </w:tr>
    </w:tbl>
    <w:p w:rsidR="009F78BD" w:rsidRPr="009F78BD" w:rsidRDefault="009F78BD" w:rsidP="00487171">
      <w:pPr>
        <w:widowControl/>
        <w:spacing w:beforeLines="50"/>
        <w:jc w:val="center"/>
        <w:rPr>
          <w:rFonts w:ascii="標楷體" w:eastAsia="標楷體" w:hAnsi="標楷體"/>
        </w:rPr>
      </w:pPr>
      <w:r w:rsidRPr="009F78BD">
        <w:rPr>
          <w:rFonts w:ascii="標楷體" w:eastAsia="標楷體" w:hAnsi="標楷體" w:hint="eastAsia"/>
          <w:szCs w:val="24"/>
        </w:rPr>
        <w:t>表</w:t>
      </w:r>
      <w:r w:rsidRPr="009F78BD">
        <w:rPr>
          <w:rFonts w:ascii="標楷體" w:eastAsia="標楷體" w:hAnsi="標楷體" w:cs="Arial" w:hint="eastAsia"/>
          <w:szCs w:val="24"/>
        </w:rPr>
        <w:t xml:space="preserve">一 </w:t>
      </w:r>
      <w:r w:rsidRPr="009F78BD">
        <w:rPr>
          <w:rFonts w:ascii="標楷體" w:eastAsia="標楷體" w:hAnsi="標楷體" w:hint="eastAsia"/>
          <w:szCs w:val="24"/>
        </w:rPr>
        <w:t>混附波輻射限定值</w:t>
      </w:r>
    </w:p>
    <w:sectPr w:rsidR="009F78BD" w:rsidRPr="009F78BD" w:rsidSect="00C94FF9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BBD" w:rsidRDefault="00A55BBD" w:rsidP="00BD165F">
      <w:r>
        <w:separator/>
      </w:r>
    </w:p>
  </w:endnote>
  <w:endnote w:type="continuationSeparator" w:id="1">
    <w:p w:rsidR="00A55BBD" w:rsidRDefault="00A55BBD" w:rsidP="00BD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3591"/>
      <w:docPartObj>
        <w:docPartGallery w:val="Page Numbers (Bottom of Page)"/>
        <w:docPartUnique/>
      </w:docPartObj>
    </w:sdtPr>
    <w:sdtContent>
      <w:p w:rsidR="00C94FF9" w:rsidRDefault="00487171" w:rsidP="00C94FF9">
        <w:pPr>
          <w:pStyle w:val="a5"/>
          <w:jc w:val="center"/>
        </w:pPr>
        <w:fldSimple w:instr=" PAGE   \* MERGEFORMAT ">
          <w:r w:rsidR="002A006F" w:rsidRPr="002A006F">
            <w:rPr>
              <w:noProof/>
              <w:lang w:val="zh-TW"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BBD" w:rsidRDefault="00A55BBD" w:rsidP="00BD165F">
      <w:r>
        <w:separator/>
      </w:r>
    </w:p>
  </w:footnote>
  <w:footnote w:type="continuationSeparator" w:id="1">
    <w:p w:rsidR="00A55BBD" w:rsidRDefault="00A55BBD" w:rsidP="00BD1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5F" w:rsidRDefault="00A71B45">
    <w:pPr>
      <w:pStyle w:val="a3"/>
    </w:pPr>
    <w:r w:rsidRPr="00A71B45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-235585</wp:posOffset>
          </wp:positionV>
          <wp:extent cx="495300" cy="495300"/>
          <wp:effectExtent l="19050" t="0" r="0" b="0"/>
          <wp:wrapNone/>
          <wp:docPr id="3" name="圖片 1" descr="D:\LOGO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71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58.1pt;margin-top:-17.75pt;width:157.1pt;height:43pt;z-index:251662336;mso-position-horizontal-relative:text;mso-position-vertical-relative:text" stroked="f">
          <v:textbox style="mso-next-textbox:#_x0000_s1029">
            <w:txbxContent>
              <w:p w:rsidR="00BD165F" w:rsidRPr="00BD165F" w:rsidRDefault="009F78BD" w:rsidP="00BD165F">
                <w:pPr>
                  <w:rPr>
                    <w:rFonts w:ascii="標楷體" w:eastAsia="標楷體" w:hAnsi="標楷體"/>
                  </w:rPr>
                </w:pPr>
                <w:r w:rsidRPr="00F95FA0">
                  <w:rPr>
                    <w:rFonts w:ascii="標楷體" w:hAnsi="標楷體"/>
                    <w:szCs w:val="24"/>
                  </w:rPr>
                  <w:t>IS2032-1</w:t>
                </w:r>
              </w:p>
              <w:p w:rsidR="00BD165F" w:rsidRPr="00BD165F" w:rsidRDefault="00BD165F" w:rsidP="00BD165F">
                <w:pPr>
                  <w:rPr>
                    <w:rFonts w:ascii="標楷體" w:eastAsia="標楷體" w:hAnsi="標楷體"/>
                    <w:szCs w:val="24"/>
                  </w:rPr>
                </w:pPr>
                <w:r w:rsidRPr="00BD165F">
                  <w:rPr>
                    <w:rFonts w:ascii="標楷體" w:eastAsia="標楷體" w:hAnsi="標楷體" w:hint="eastAsia"/>
                  </w:rPr>
                  <w:t>修訂日期：102年</w:t>
                </w:r>
                <w:r w:rsidR="002A006F">
                  <w:rPr>
                    <w:rFonts w:ascii="標楷體" w:eastAsia="標楷體" w:hAnsi="標楷體" w:hint="eastAsia"/>
                  </w:rPr>
                  <w:t>11</w:t>
                </w:r>
                <w:r w:rsidRPr="00BD165F">
                  <w:rPr>
                    <w:rFonts w:ascii="標楷體" w:eastAsia="標楷體" w:hAnsi="標楷體" w:hint="eastAsia"/>
                  </w:rPr>
                  <w:t>月</w:t>
                </w:r>
                <w:r w:rsidR="002A006F">
                  <w:rPr>
                    <w:rFonts w:ascii="標楷體" w:eastAsia="標楷體" w:hAnsi="標楷體" w:hint="eastAsia"/>
                  </w:rPr>
                  <w:t>4</w:t>
                </w:r>
                <w:r w:rsidRPr="00BD165F">
                  <w:rPr>
                    <w:rFonts w:ascii="標楷體" w:eastAsia="標楷體" w:hAnsi="標楷體" w:hint="eastAsia"/>
                  </w:rPr>
                  <w:t>日</w:t>
                </w:r>
              </w:p>
            </w:txbxContent>
          </v:textbox>
        </v:shape>
      </w:pict>
    </w:r>
    <w:r w:rsidR="00487171">
      <w:rPr>
        <w:noProof/>
      </w:rPr>
      <w:pict>
        <v:shape id="_x0000_s1027" type="#_x0000_t202" style="position:absolute;margin-left:37.8pt;margin-top:-17.75pt;width:93.5pt;height:43pt;z-index:251660288;mso-position-horizontal-relative:text;mso-position-vertical-relative:text" stroked="f">
          <v:textbox style="mso-next-textbox:#_x0000_s1027">
            <w:txbxContent>
              <w:p w:rsidR="00BD165F" w:rsidRDefault="00BD165F" w:rsidP="00BD165F">
                <w:pPr>
                  <w:jc w:val="distribute"/>
                  <w:rPr>
                    <w:rFonts w:ascii="標楷體" w:eastAsia="標楷體" w:hAnsi="標楷體"/>
                    <w:szCs w:val="24"/>
                  </w:rPr>
                </w:pPr>
                <w:r w:rsidRPr="00BD165F">
                  <w:rPr>
                    <w:rFonts w:ascii="標楷體" w:eastAsia="標楷體" w:hAnsi="標楷體" w:hint="eastAsia"/>
                    <w:szCs w:val="24"/>
                  </w:rPr>
                  <w:t>電信技術規範</w:t>
                </w:r>
              </w:p>
              <w:p w:rsidR="00BD165F" w:rsidRPr="00BD165F" w:rsidRDefault="00BD165F" w:rsidP="00BD165F">
                <w:pPr>
                  <w:jc w:val="distribute"/>
                  <w:rPr>
                    <w:rFonts w:ascii="標楷體" w:eastAsia="標楷體" w:hAnsi="標楷體"/>
                    <w:szCs w:val="24"/>
                  </w:rPr>
                </w:pPr>
                <w:r>
                  <w:rPr>
                    <w:rFonts w:ascii="標楷體" w:eastAsia="標楷體" w:hAnsi="標楷體" w:hint="eastAsia"/>
                    <w:szCs w:val="24"/>
                  </w:rPr>
                  <w:t>檢驗規範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5F" w:rsidRDefault="00A71B45">
    <w:pPr>
      <w:pStyle w:val="a3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-216535</wp:posOffset>
          </wp:positionV>
          <wp:extent cx="495300" cy="495300"/>
          <wp:effectExtent l="19050" t="0" r="0" b="0"/>
          <wp:wrapNone/>
          <wp:docPr id="1" name="圖片 1" descr="D:\LOGO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71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57.65pt;margin-top:-17.05pt;width:157.1pt;height:43pt;z-index:251663360;mso-position-horizontal-relative:text;mso-position-vertical-relative:text" stroked="f">
          <v:textbox style="mso-next-textbox:#_x0000_s1030">
            <w:txbxContent>
              <w:p w:rsidR="00BD165F" w:rsidRPr="00BD165F" w:rsidRDefault="009F78BD" w:rsidP="00BD165F">
                <w:pPr>
                  <w:rPr>
                    <w:rFonts w:ascii="標楷體" w:eastAsia="標楷體" w:hAnsi="標楷體"/>
                  </w:rPr>
                </w:pPr>
                <w:r w:rsidRPr="00F95FA0">
                  <w:rPr>
                    <w:rFonts w:ascii="標楷體" w:hAnsi="標楷體"/>
                    <w:szCs w:val="24"/>
                  </w:rPr>
                  <w:t>IS2032-1</w:t>
                </w:r>
              </w:p>
              <w:p w:rsidR="00BD165F" w:rsidRPr="00BD165F" w:rsidRDefault="00BD165F" w:rsidP="00BD165F">
                <w:pPr>
                  <w:rPr>
                    <w:rFonts w:ascii="標楷體" w:eastAsia="標楷體" w:hAnsi="標楷體"/>
                    <w:szCs w:val="24"/>
                  </w:rPr>
                </w:pPr>
                <w:r w:rsidRPr="00BD165F">
                  <w:rPr>
                    <w:rFonts w:ascii="標楷體" w:eastAsia="標楷體" w:hAnsi="標楷體" w:hint="eastAsia"/>
                  </w:rPr>
                  <w:t>修訂日期：102年</w:t>
                </w:r>
                <w:r w:rsidR="002A006F">
                  <w:rPr>
                    <w:rFonts w:ascii="標楷體" w:eastAsia="標楷體" w:hAnsi="標楷體" w:hint="eastAsia"/>
                  </w:rPr>
                  <w:t>11</w:t>
                </w:r>
                <w:r w:rsidRPr="00BD165F">
                  <w:rPr>
                    <w:rFonts w:ascii="標楷體" w:eastAsia="標楷體" w:hAnsi="標楷體" w:hint="eastAsia"/>
                  </w:rPr>
                  <w:t>月</w:t>
                </w:r>
                <w:r w:rsidR="002A006F">
                  <w:rPr>
                    <w:rFonts w:ascii="標楷體" w:eastAsia="標楷體" w:hAnsi="標楷體" w:hint="eastAsia"/>
                  </w:rPr>
                  <w:t>4</w:t>
                </w:r>
                <w:r w:rsidRPr="00BD165F">
                  <w:rPr>
                    <w:rFonts w:ascii="標楷體" w:eastAsia="標楷體" w:hAnsi="標楷體" w:hint="eastAsia"/>
                  </w:rPr>
                  <w:t>日</w:t>
                </w:r>
              </w:p>
            </w:txbxContent>
          </v:textbox>
        </v:shape>
      </w:pict>
    </w:r>
    <w:r w:rsidR="00487171">
      <w:rPr>
        <w:noProof/>
      </w:rPr>
      <w:pict>
        <v:shape id="_x0000_s1025" type="#_x0000_t202" style="position:absolute;margin-left:38.3pt;margin-top:-16.85pt;width:93.5pt;height:43pt;z-index:251658240;mso-position-horizontal-relative:text;mso-position-vertical-relative:text" stroked="f">
          <v:textbox style="mso-next-textbox:#_x0000_s1025">
            <w:txbxContent>
              <w:p w:rsidR="00BD165F" w:rsidRDefault="00BD165F" w:rsidP="00BD165F">
                <w:pPr>
                  <w:jc w:val="distribute"/>
                  <w:rPr>
                    <w:rFonts w:ascii="標楷體" w:eastAsia="標楷體" w:hAnsi="標楷體"/>
                    <w:szCs w:val="24"/>
                  </w:rPr>
                </w:pPr>
                <w:r w:rsidRPr="00BD165F">
                  <w:rPr>
                    <w:rFonts w:ascii="標楷體" w:eastAsia="標楷體" w:hAnsi="標楷體" w:hint="eastAsia"/>
                    <w:szCs w:val="24"/>
                  </w:rPr>
                  <w:t>電信技術規範</w:t>
                </w:r>
              </w:p>
              <w:p w:rsidR="00BD165F" w:rsidRPr="00BD165F" w:rsidRDefault="00BD165F" w:rsidP="00BD165F">
                <w:pPr>
                  <w:jc w:val="distribute"/>
                  <w:rPr>
                    <w:rFonts w:ascii="標楷體" w:eastAsia="標楷體" w:hAnsi="標楷體"/>
                    <w:szCs w:val="24"/>
                  </w:rPr>
                </w:pPr>
                <w:r>
                  <w:rPr>
                    <w:rFonts w:ascii="標楷體" w:eastAsia="標楷體" w:hAnsi="標楷體" w:hint="eastAsia"/>
                    <w:szCs w:val="24"/>
                  </w:rPr>
                  <w:t>檢驗規範</w:t>
                </w:r>
              </w:p>
            </w:txbxContent>
          </v:textbox>
        </v:shape>
      </w:pict>
    </w:r>
    <w:r w:rsidR="00BD165F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7F11"/>
    <w:multiLevelType w:val="hybridMultilevel"/>
    <w:tmpl w:val="C524AF7A"/>
    <w:lvl w:ilvl="0" w:tplc="4D0C198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FC7D22"/>
    <w:multiLevelType w:val="hybridMultilevel"/>
    <w:tmpl w:val="C524AF7A"/>
    <w:lvl w:ilvl="0" w:tplc="4D0C198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65F"/>
    <w:rsid w:val="001640DE"/>
    <w:rsid w:val="00285CE7"/>
    <w:rsid w:val="002A006F"/>
    <w:rsid w:val="003178A1"/>
    <w:rsid w:val="0039128B"/>
    <w:rsid w:val="003B2103"/>
    <w:rsid w:val="0042098F"/>
    <w:rsid w:val="00487171"/>
    <w:rsid w:val="00503BFD"/>
    <w:rsid w:val="00630E3D"/>
    <w:rsid w:val="006554E5"/>
    <w:rsid w:val="00775192"/>
    <w:rsid w:val="00937911"/>
    <w:rsid w:val="009C1077"/>
    <w:rsid w:val="009F78BD"/>
    <w:rsid w:val="00A362D5"/>
    <w:rsid w:val="00A55BBD"/>
    <w:rsid w:val="00A71B45"/>
    <w:rsid w:val="00A966B1"/>
    <w:rsid w:val="00AA6FED"/>
    <w:rsid w:val="00B17019"/>
    <w:rsid w:val="00B42926"/>
    <w:rsid w:val="00BD165F"/>
    <w:rsid w:val="00C164BF"/>
    <w:rsid w:val="00C94FF9"/>
    <w:rsid w:val="00ED04DB"/>
    <w:rsid w:val="00F5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536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6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65F"/>
    <w:rPr>
      <w:sz w:val="20"/>
      <w:szCs w:val="20"/>
    </w:rPr>
  </w:style>
  <w:style w:type="paragraph" w:styleId="2">
    <w:name w:val="toc 2"/>
    <w:basedOn w:val="a"/>
    <w:next w:val="a"/>
    <w:autoRedefine/>
    <w:semiHidden/>
    <w:rsid w:val="00C94FF9"/>
    <w:pPr>
      <w:tabs>
        <w:tab w:val="left" w:pos="900"/>
        <w:tab w:val="left" w:pos="1260"/>
        <w:tab w:val="right" w:leader="dot" w:pos="8296"/>
      </w:tabs>
    </w:pPr>
    <w:rPr>
      <w:rFonts w:ascii="Arial" w:eastAsia="標楷體" w:hAnsi="Arial" w:cs="Times New Roman"/>
      <w:smallCaps/>
      <w:noProof/>
      <w:szCs w:val="20"/>
    </w:rPr>
  </w:style>
  <w:style w:type="paragraph" w:customStyle="1" w:styleId="4">
    <w:name w:val="標題4內文"/>
    <w:basedOn w:val="a7"/>
    <w:rsid w:val="00285CE7"/>
    <w:pPr>
      <w:tabs>
        <w:tab w:val="left" w:pos="794"/>
      </w:tabs>
      <w:ind w:leftChars="0" w:left="794"/>
    </w:pPr>
    <w:rPr>
      <w:rFonts w:ascii="Arial" w:eastAsia="標楷體" w:hAnsi="Arial" w:cs="Times New Roman"/>
      <w:szCs w:val="20"/>
    </w:rPr>
  </w:style>
  <w:style w:type="paragraph" w:styleId="a8">
    <w:name w:val="Body Text"/>
    <w:basedOn w:val="a"/>
    <w:link w:val="a9"/>
    <w:rsid w:val="00285CE7"/>
    <w:pPr>
      <w:tabs>
        <w:tab w:val="left" w:pos="794"/>
      </w:tabs>
      <w:spacing w:line="0" w:lineRule="atLeast"/>
      <w:jc w:val="center"/>
    </w:pPr>
    <w:rPr>
      <w:rFonts w:ascii="Arial" w:eastAsia="標楷體" w:hAnsi="Arial" w:cs="Times New Roman"/>
      <w:sz w:val="16"/>
      <w:szCs w:val="20"/>
    </w:rPr>
  </w:style>
  <w:style w:type="character" w:customStyle="1" w:styleId="a9">
    <w:name w:val="本文 字元"/>
    <w:basedOn w:val="a0"/>
    <w:link w:val="a8"/>
    <w:rsid w:val="00285CE7"/>
    <w:rPr>
      <w:rFonts w:ascii="Arial" w:eastAsia="標楷體" w:hAnsi="Arial" w:cs="Times New Roman"/>
      <w:sz w:val="16"/>
      <w:szCs w:val="20"/>
    </w:rPr>
  </w:style>
  <w:style w:type="paragraph" w:customStyle="1" w:styleId="CM2">
    <w:name w:val="CM2"/>
    <w:basedOn w:val="a"/>
    <w:next w:val="a"/>
    <w:rsid w:val="00285CE7"/>
    <w:pPr>
      <w:autoSpaceDE w:val="0"/>
      <w:autoSpaceDN w:val="0"/>
      <w:adjustRightInd w:val="0"/>
      <w:spacing w:line="468" w:lineRule="atLeast"/>
    </w:pPr>
    <w:rPr>
      <w:rFonts w:ascii="新細明體" w:eastAsia="新細明體" w:hAnsi="Times New Roman" w:cs="Times New Roman"/>
      <w:kern w:val="0"/>
      <w:szCs w:val="24"/>
    </w:rPr>
  </w:style>
  <w:style w:type="paragraph" w:styleId="a7">
    <w:name w:val="Normal Indent"/>
    <w:basedOn w:val="a"/>
    <w:uiPriority w:val="99"/>
    <w:semiHidden/>
    <w:unhideWhenUsed/>
    <w:rsid w:val="00285CE7"/>
    <w:pPr>
      <w:ind w:leftChars="200" w:left="480"/>
    </w:pPr>
  </w:style>
  <w:style w:type="table" w:styleId="aa">
    <w:name w:val="Table Grid"/>
    <w:basedOn w:val="a1"/>
    <w:uiPriority w:val="59"/>
    <w:rsid w:val="00ED0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header" Target="head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gif"/>
  <Relationship Id="rId9" Type="http://schemas.openxmlformats.org/officeDocument/2006/relationships/header" Target="head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5173-BE39-4A5F-AFCC-1B76B827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2013-10-18T06:17:00Z</dcterms:created>
  <dc:creator>資源技術處通傳資安設備認證科程奕翔</dc:creator>
  <lastModifiedBy>資源技術處通傳資安設備認證科程奕翔</lastModifiedBy>
  <dcterms:modified xsi:type="dcterms:W3CDTF">2013-11-03T06:36:00Z</dcterms:modified>
  <revision>11</revision>
</coreProperties>
</file>