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C9" w:rsidRDefault="009D310B" w:rsidP="00824E5D">
      <w:pPr>
        <w:widowControl/>
        <w:adjustRightInd w:val="0"/>
        <w:spacing w:afterLines="50" w:line="460" w:lineRule="exact"/>
        <w:jc w:val="center"/>
        <w:rPr>
          <w:rFonts w:ascii="標楷體" w:eastAsia="標楷體" w:hAnsi="標楷體" w:cs="新細明體"/>
          <w:bCs/>
          <w:color w:val="000000"/>
          <w:kern w:val="0"/>
          <w:sz w:val="36"/>
          <w:szCs w:val="36"/>
        </w:rPr>
      </w:pPr>
      <w:r w:rsidRPr="00F44E8A">
        <w:rPr>
          <w:rFonts w:ascii="標楷體" w:eastAsia="標楷體" w:hAnsi="標楷體" w:cs="新細明體" w:hint="eastAsia"/>
          <w:bCs/>
          <w:color w:val="000000"/>
          <w:kern w:val="0"/>
          <w:sz w:val="36"/>
          <w:szCs w:val="36"/>
        </w:rPr>
        <w:t>大陸地區人民來</w:t>
      </w:r>
      <w:proofErr w:type="gramStart"/>
      <w:r w:rsidRPr="00F44E8A">
        <w:rPr>
          <w:rFonts w:ascii="標楷體" w:eastAsia="標楷體" w:hAnsi="標楷體" w:cs="新細明體" w:hint="eastAsia"/>
          <w:bCs/>
          <w:color w:val="000000"/>
          <w:kern w:val="0"/>
          <w:sz w:val="36"/>
          <w:szCs w:val="36"/>
        </w:rPr>
        <w:t>臺</w:t>
      </w:r>
      <w:proofErr w:type="gramEnd"/>
      <w:r w:rsidRPr="00F44E8A">
        <w:rPr>
          <w:rFonts w:ascii="標楷體" w:eastAsia="標楷體" w:hAnsi="標楷體" w:cs="新細明體" w:hint="eastAsia"/>
          <w:bCs/>
          <w:color w:val="000000"/>
          <w:kern w:val="0"/>
          <w:sz w:val="36"/>
          <w:szCs w:val="36"/>
        </w:rPr>
        <w:t>投資第二類電信事業審查作業要點總說明</w:t>
      </w:r>
    </w:p>
    <w:p w:rsidR="002454C9" w:rsidRDefault="009D310B" w:rsidP="00824E5D">
      <w:pPr>
        <w:widowControl/>
        <w:spacing w:before="50" w:afterLines="50" w:line="400" w:lineRule="exact"/>
        <w:ind w:firstLineChars="200" w:firstLine="560"/>
        <w:jc w:val="both"/>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為應服務貿易協議電信服務業之開放，</w:t>
      </w:r>
      <w:proofErr w:type="gramStart"/>
      <w:r w:rsidRPr="00F44E8A">
        <w:rPr>
          <w:rFonts w:ascii="標楷體" w:eastAsia="標楷體" w:hAnsi="標楷體" w:cs="新細明體" w:hint="eastAsia"/>
          <w:kern w:val="0"/>
          <w:sz w:val="28"/>
          <w:szCs w:val="28"/>
        </w:rPr>
        <w:t>陸方來臺</w:t>
      </w:r>
      <w:proofErr w:type="gramEnd"/>
      <w:r w:rsidRPr="00F44E8A">
        <w:rPr>
          <w:rFonts w:ascii="標楷體" w:eastAsia="標楷體" w:hAnsi="標楷體" w:cs="新細明體" w:hint="eastAsia"/>
          <w:kern w:val="0"/>
          <w:sz w:val="28"/>
          <w:szCs w:val="28"/>
        </w:rPr>
        <w:t>投資我方電信業務，應受相關限制條件規範，故</w:t>
      </w:r>
      <w:proofErr w:type="gramStart"/>
      <w:r w:rsidRPr="00F44E8A">
        <w:rPr>
          <w:rFonts w:ascii="標楷體" w:eastAsia="標楷體" w:hAnsi="標楷體" w:cs="新細明體" w:hint="eastAsia"/>
          <w:kern w:val="0"/>
          <w:sz w:val="28"/>
          <w:szCs w:val="28"/>
        </w:rPr>
        <w:t>研</w:t>
      </w:r>
      <w:proofErr w:type="gramEnd"/>
      <w:r w:rsidRPr="00F44E8A">
        <w:rPr>
          <w:rFonts w:ascii="標楷體" w:eastAsia="標楷體" w:hAnsi="標楷體" w:cs="新細明體" w:hint="eastAsia"/>
          <w:kern w:val="0"/>
          <w:sz w:val="28"/>
          <w:szCs w:val="28"/>
        </w:rPr>
        <w:t>擬配套機制，以保護國人權益。</w:t>
      </w:r>
    </w:p>
    <w:p w:rsidR="002454C9" w:rsidRDefault="009D310B" w:rsidP="00824E5D">
      <w:pPr>
        <w:widowControl/>
        <w:spacing w:before="50" w:afterLines="50" w:line="400" w:lineRule="exact"/>
        <w:ind w:firstLineChars="200" w:firstLine="560"/>
        <w:jc w:val="both"/>
        <w:rPr>
          <w:rFonts w:ascii="標楷體" w:eastAsia="標楷體" w:hAnsi="標楷體"/>
          <w:sz w:val="28"/>
          <w:szCs w:val="28"/>
        </w:rPr>
      </w:pPr>
      <w:r w:rsidRPr="00F44E8A">
        <w:rPr>
          <w:rFonts w:ascii="標楷體" w:eastAsia="標楷體" w:hAnsi="標楷體" w:hint="eastAsia"/>
          <w:sz w:val="28"/>
          <w:szCs w:val="28"/>
        </w:rPr>
        <w:t>本</w:t>
      </w:r>
      <w:r w:rsidR="00824E5D" w:rsidRPr="00824E5D">
        <w:rPr>
          <w:rFonts w:ascii="標楷體" w:eastAsia="標楷體" w:hAnsi="標楷體" w:hint="eastAsia"/>
          <w:sz w:val="28"/>
          <w:szCs w:val="28"/>
        </w:rPr>
        <w:t>要點</w:t>
      </w:r>
      <w:r w:rsidRPr="00F44E8A">
        <w:rPr>
          <w:rFonts w:ascii="標楷體" w:eastAsia="標楷體" w:hAnsi="標楷體" w:hint="eastAsia"/>
          <w:sz w:val="28"/>
          <w:szCs w:val="28"/>
        </w:rPr>
        <w:t>重點</w:t>
      </w:r>
      <w:proofErr w:type="gramStart"/>
      <w:r w:rsidRPr="00F44E8A">
        <w:rPr>
          <w:rFonts w:ascii="標楷體" w:eastAsia="標楷體" w:hAnsi="標楷體" w:hint="eastAsia"/>
          <w:sz w:val="28"/>
          <w:szCs w:val="28"/>
        </w:rPr>
        <w:t>臚列如</w:t>
      </w:r>
      <w:proofErr w:type="gramEnd"/>
      <w:r w:rsidRPr="00F44E8A">
        <w:rPr>
          <w:rFonts w:ascii="標楷體" w:eastAsia="標楷體" w:hAnsi="標楷體" w:hint="eastAsia"/>
          <w:sz w:val="28"/>
          <w:szCs w:val="28"/>
        </w:rPr>
        <w:t>次：</w:t>
      </w:r>
    </w:p>
    <w:p w:rsidR="009D310B" w:rsidRPr="00F44E8A" w:rsidRDefault="009D310B" w:rsidP="003A7D2B">
      <w:pPr>
        <w:pStyle w:val="2"/>
        <w:numPr>
          <w:ilvl w:val="0"/>
          <w:numId w:val="20"/>
        </w:numPr>
        <w:spacing w:line="400" w:lineRule="exact"/>
        <w:ind w:left="567" w:hanging="425"/>
        <w:rPr>
          <w:rFonts w:ascii="標楷體" w:eastAsia="標楷體" w:hAnsi="標楷體"/>
          <w:sz w:val="28"/>
          <w:szCs w:val="28"/>
        </w:rPr>
      </w:pPr>
      <w:r w:rsidRPr="00F44E8A">
        <w:rPr>
          <w:rFonts w:ascii="標楷體" w:eastAsia="標楷體" w:hAnsi="標楷體" w:hint="eastAsia"/>
          <w:sz w:val="28"/>
          <w:szCs w:val="28"/>
        </w:rPr>
        <w:t>明定本要點名稱。（第一點）</w:t>
      </w:r>
    </w:p>
    <w:p w:rsidR="009D310B" w:rsidRPr="00F44E8A" w:rsidRDefault="009D310B" w:rsidP="003A7D2B">
      <w:pPr>
        <w:pStyle w:val="2"/>
        <w:numPr>
          <w:ilvl w:val="0"/>
          <w:numId w:val="20"/>
        </w:numPr>
        <w:spacing w:line="400" w:lineRule="exact"/>
        <w:ind w:left="567" w:hanging="425"/>
        <w:rPr>
          <w:rFonts w:ascii="標楷體" w:eastAsia="標楷體" w:hAnsi="標楷體"/>
          <w:sz w:val="28"/>
          <w:szCs w:val="28"/>
        </w:rPr>
      </w:pPr>
      <w:r w:rsidRPr="00F44E8A">
        <w:rPr>
          <w:rFonts w:ascii="標楷體" w:eastAsia="標楷體" w:hAnsi="標楷體" w:hint="eastAsia"/>
          <w:sz w:val="28"/>
          <w:szCs w:val="28"/>
        </w:rPr>
        <w:t>適用陸資投資我國第二類電信事業之服務範圍。（第二點）</w:t>
      </w:r>
    </w:p>
    <w:p w:rsidR="009D310B" w:rsidRPr="00F44E8A" w:rsidRDefault="009D310B" w:rsidP="003A7D2B">
      <w:pPr>
        <w:pStyle w:val="2"/>
        <w:numPr>
          <w:ilvl w:val="0"/>
          <w:numId w:val="20"/>
        </w:numPr>
        <w:spacing w:line="400" w:lineRule="exact"/>
        <w:ind w:left="567" w:hanging="425"/>
        <w:rPr>
          <w:rFonts w:ascii="標楷體" w:eastAsia="標楷體" w:hAnsi="標楷體"/>
          <w:sz w:val="28"/>
          <w:szCs w:val="28"/>
        </w:rPr>
      </w:pPr>
      <w:r w:rsidRPr="00F44E8A">
        <w:rPr>
          <w:rFonts w:ascii="標楷體" w:eastAsia="標楷體" w:hAnsi="標楷體" w:hint="eastAsia"/>
          <w:sz w:val="28"/>
          <w:szCs w:val="28"/>
        </w:rPr>
        <w:t>明定審查原則及注意事項。（第三點）</w:t>
      </w:r>
    </w:p>
    <w:p w:rsidR="009D310B" w:rsidRPr="00F44E8A" w:rsidRDefault="009D310B" w:rsidP="005A44D2">
      <w:pPr>
        <w:pStyle w:val="2"/>
        <w:numPr>
          <w:ilvl w:val="0"/>
          <w:numId w:val="20"/>
        </w:numPr>
        <w:spacing w:line="400" w:lineRule="exact"/>
        <w:ind w:left="993" w:hanging="851"/>
        <w:rPr>
          <w:rFonts w:ascii="標楷體" w:eastAsia="標楷體" w:hAnsi="標楷體"/>
          <w:sz w:val="28"/>
          <w:szCs w:val="28"/>
        </w:rPr>
      </w:pPr>
      <w:r w:rsidRPr="00F44E8A">
        <w:rPr>
          <w:rFonts w:ascii="標楷體" w:eastAsia="標楷體" w:hAnsi="標楷體" w:hint="eastAsia"/>
          <w:sz w:val="28"/>
          <w:szCs w:val="28"/>
        </w:rPr>
        <w:t>投資人投資計畫應載明</w:t>
      </w:r>
      <w:r w:rsidRPr="00F44E8A">
        <w:rPr>
          <w:rFonts w:ascii="標楷體" w:eastAsia="標楷體" w:hAnsi="標楷體"/>
          <w:sz w:val="28"/>
          <w:szCs w:val="28"/>
        </w:rPr>
        <w:tab/>
      </w:r>
      <w:r w:rsidRPr="00F44E8A">
        <w:rPr>
          <w:rFonts w:ascii="標楷體" w:eastAsia="標楷體" w:hAnsi="標楷體" w:hint="eastAsia"/>
          <w:sz w:val="28"/>
          <w:szCs w:val="28"/>
        </w:rPr>
        <w:t>事業經營考量因素、財務及資金取得運用情況、勞動事項、投資應對我國經濟發展之貢獻及產業帶動等事項。（第四點）</w:t>
      </w:r>
    </w:p>
    <w:p w:rsidR="009D310B" w:rsidRPr="00F44E8A" w:rsidRDefault="009D310B" w:rsidP="003A7D2B">
      <w:pPr>
        <w:pStyle w:val="2"/>
        <w:numPr>
          <w:ilvl w:val="0"/>
          <w:numId w:val="20"/>
        </w:numPr>
        <w:spacing w:line="400" w:lineRule="exact"/>
        <w:ind w:left="567" w:hanging="425"/>
        <w:rPr>
          <w:rFonts w:ascii="標楷體" w:eastAsia="標楷體" w:hAnsi="標楷體"/>
          <w:sz w:val="28"/>
          <w:szCs w:val="28"/>
        </w:rPr>
      </w:pPr>
      <w:r w:rsidRPr="00F44E8A">
        <w:rPr>
          <w:rFonts w:ascii="標楷體" w:eastAsia="標楷體" w:hAnsi="標楷體" w:hint="eastAsia"/>
          <w:sz w:val="28"/>
          <w:szCs w:val="28"/>
        </w:rPr>
        <w:t>對於第二電信事業於必要時，得對其進行行政檢查。（第五點）</w:t>
      </w:r>
    </w:p>
    <w:p w:rsidR="009D310B" w:rsidRPr="00F44E8A" w:rsidRDefault="009D310B" w:rsidP="005A44D2">
      <w:pPr>
        <w:pStyle w:val="2"/>
        <w:numPr>
          <w:ilvl w:val="0"/>
          <w:numId w:val="20"/>
        </w:numPr>
        <w:spacing w:line="400" w:lineRule="exact"/>
        <w:ind w:left="993" w:hanging="851"/>
        <w:rPr>
          <w:rFonts w:ascii="標楷體" w:eastAsia="標楷體" w:hAnsi="標楷體"/>
          <w:sz w:val="28"/>
          <w:szCs w:val="28"/>
        </w:rPr>
      </w:pPr>
      <w:r w:rsidRPr="00F44E8A">
        <w:rPr>
          <w:rFonts w:ascii="標楷體" w:eastAsia="標楷體" w:hAnsi="標楷體" w:hint="eastAsia"/>
          <w:sz w:val="28"/>
          <w:szCs w:val="28"/>
        </w:rPr>
        <w:t>投資人未履行投資相關事項或未依期限提供資料或有提報不實之情事，本會得函請經濟部投資審議委員會撤銷或廢止投資之核准。（第六點）</w:t>
      </w:r>
    </w:p>
    <w:p w:rsidR="009D310B" w:rsidRPr="00F44E8A" w:rsidRDefault="009D310B" w:rsidP="003A7D2B">
      <w:pPr>
        <w:pStyle w:val="2"/>
        <w:numPr>
          <w:ilvl w:val="0"/>
          <w:numId w:val="20"/>
        </w:numPr>
        <w:spacing w:line="400" w:lineRule="exact"/>
        <w:ind w:left="567" w:hanging="425"/>
        <w:rPr>
          <w:rFonts w:ascii="標楷體" w:eastAsia="標楷體" w:hAnsi="標楷體"/>
          <w:sz w:val="28"/>
          <w:szCs w:val="28"/>
        </w:rPr>
      </w:pPr>
      <w:r w:rsidRPr="00F44E8A">
        <w:rPr>
          <w:rFonts w:ascii="標楷體" w:eastAsia="標楷體" w:hAnsi="標楷體" w:hint="eastAsia"/>
          <w:sz w:val="28"/>
          <w:szCs w:val="28"/>
        </w:rPr>
        <w:t>投資申請案件之審查，必要時得邀請專家學者進行審查。（第七點）</w:t>
      </w:r>
    </w:p>
    <w:p w:rsidR="009D310B" w:rsidRPr="00F44E8A" w:rsidRDefault="009D310B" w:rsidP="003A7D2B">
      <w:pPr>
        <w:pStyle w:val="2"/>
        <w:numPr>
          <w:ilvl w:val="0"/>
          <w:numId w:val="20"/>
        </w:numPr>
        <w:spacing w:line="400" w:lineRule="exact"/>
        <w:ind w:left="567" w:hanging="425"/>
        <w:rPr>
          <w:rFonts w:ascii="標楷體" w:eastAsia="標楷體" w:hAnsi="標楷體"/>
          <w:sz w:val="28"/>
          <w:szCs w:val="28"/>
        </w:rPr>
      </w:pPr>
      <w:r w:rsidRPr="00F44E8A">
        <w:rPr>
          <w:rFonts w:ascii="標楷體" w:eastAsia="標楷體" w:hAnsi="標楷體" w:hint="eastAsia"/>
          <w:sz w:val="28"/>
          <w:szCs w:val="28"/>
        </w:rPr>
        <w:t>將流程圖示，以利閱覽。（第八點）</w:t>
      </w:r>
    </w:p>
    <w:p w:rsidR="0094301A" w:rsidRDefault="0094301A" w:rsidP="00A34D98">
      <w:pPr>
        <w:widowControl/>
        <w:tabs>
          <w:tab w:val="right" w:pos="10206"/>
        </w:tabs>
        <w:rPr>
          <w:rFonts w:ascii="標楷體" w:eastAsia="標楷體" w:hAnsi="標楷體" w:cs="新細明體"/>
          <w:bCs/>
          <w:color w:val="000000"/>
          <w:kern w:val="0"/>
          <w:sz w:val="36"/>
          <w:szCs w:val="36"/>
        </w:rPr>
      </w:pPr>
      <w:r>
        <w:rPr>
          <w:rFonts w:ascii="標楷體" w:eastAsia="標楷體" w:hAnsi="標楷體" w:cs="新細明體"/>
          <w:bCs/>
          <w:color w:val="000000"/>
          <w:kern w:val="0"/>
          <w:sz w:val="36"/>
          <w:szCs w:val="36"/>
        </w:rPr>
        <w:br w:type="page"/>
      </w:r>
    </w:p>
    <w:p w:rsidR="002454C9" w:rsidRDefault="009D310B" w:rsidP="00824E5D">
      <w:pPr>
        <w:widowControl/>
        <w:adjustRightInd w:val="0"/>
        <w:spacing w:afterLines="50" w:line="460" w:lineRule="exact"/>
        <w:jc w:val="center"/>
        <w:rPr>
          <w:rFonts w:ascii="Times New Roman" w:eastAsia="標楷體" w:hAnsi="標楷體" w:cs="新細明體"/>
          <w:color w:val="000000"/>
          <w:kern w:val="0"/>
          <w:sz w:val="36"/>
          <w:szCs w:val="36"/>
        </w:rPr>
      </w:pPr>
      <w:r w:rsidRPr="00F44E8A">
        <w:rPr>
          <w:rFonts w:ascii="標楷體" w:eastAsia="標楷體" w:hAnsi="標楷體" w:cs="新細明體" w:hint="eastAsia"/>
          <w:bCs/>
          <w:color w:val="000000"/>
          <w:kern w:val="0"/>
          <w:sz w:val="36"/>
          <w:szCs w:val="36"/>
        </w:rPr>
        <w:lastRenderedPageBreak/>
        <w:t>大陸地區人民來臺投資第二類電信事業審查作業要點</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1"/>
        <w:gridCol w:w="4181"/>
      </w:tblGrid>
      <w:tr w:rsidR="009D310B" w:rsidRPr="00F44E8A" w:rsidTr="00A34D98">
        <w:trPr>
          <w:tblHeader/>
          <w:jc w:val="center"/>
        </w:trPr>
        <w:tc>
          <w:tcPr>
            <w:tcW w:w="4181" w:type="dxa"/>
          </w:tcPr>
          <w:p w:rsidR="009D310B" w:rsidRPr="00F44E8A" w:rsidRDefault="009D310B" w:rsidP="00554B3A">
            <w:pPr>
              <w:widowControl/>
              <w:adjustRightInd w:val="0"/>
              <w:snapToGrid w:val="0"/>
              <w:spacing w:line="360" w:lineRule="exact"/>
              <w:jc w:val="center"/>
              <w:rPr>
                <w:rFonts w:ascii="標楷體" w:eastAsia="標楷體" w:hAnsi="標楷體" w:cs="Times New Roman"/>
                <w:bCs/>
                <w:color w:val="000000"/>
                <w:kern w:val="0"/>
              </w:rPr>
            </w:pPr>
            <w:r w:rsidRPr="00F44E8A">
              <w:rPr>
                <w:rFonts w:ascii="標楷體" w:eastAsia="標楷體" w:hAnsi="標楷體" w:cs="Times New Roman" w:hint="eastAsia"/>
                <w:bCs/>
                <w:color w:val="000000"/>
                <w:kern w:val="0"/>
              </w:rPr>
              <w:t>條</w:t>
            </w:r>
            <w:r w:rsidRPr="00F44E8A">
              <w:rPr>
                <w:rFonts w:ascii="標楷體" w:eastAsia="標楷體" w:hAnsi="標楷體" w:cs="Times New Roman"/>
                <w:bCs/>
                <w:color w:val="000000"/>
                <w:kern w:val="0"/>
              </w:rPr>
              <w:t xml:space="preserve">     </w:t>
            </w:r>
            <w:r w:rsidRPr="00F44E8A">
              <w:rPr>
                <w:rFonts w:ascii="標楷體" w:eastAsia="標楷體" w:hAnsi="標楷體" w:cs="Times New Roman" w:hint="eastAsia"/>
                <w:bCs/>
                <w:color w:val="000000"/>
                <w:kern w:val="0"/>
              </w:rPr>
              <w:t>文</w:t>
            </w:r>
          </w:p>
        </w:tc>
        <w:tc>
          <w:tcPr>
            <w:tcW w:w="4181" w:type="dxa"/>
          </w:tcPr>
          <w:p w:rsidR="009D310B" w:rsidRPr="00F44E8A" w:rsidRDefault="009D310B" w:rsidP="00554B3A">
            <w:pPr>
              <w:widowControl/>
              <w:adjustRightInd w:val="0"/>
              <w:snapToGrid w:val="0"/>
              <w:spacing w:line="360" w:lineRule="exact"/>
              <w:jc w:val="center"/>
              <w:rPr>
                <w:rFonts w:ascii="標楷體" w:eastAsia="標楷體" w:hAnsi="標楷體" w:cs="Times New Roman"/>
                <w:bCs/>
                <w:color w:val="000000"/>
                <w:kern w:val="0"/>
              </w:rPr>
            </w:pPr>
            <w:r w:rsidRPr="00F44E8A">
              <w:rPr>
                <w:rFonts w:ascii="標楷體" w:eastAsia="標楷體" w:hAnsi="標楷體" w:cs="Times New Roman" w:hint="eastAsia"/>
                <w:bCs/>
                <w:color w:val="000000"/>
                <w:kern w:val="0"/>
              </w:rPr>
              <w:t>說</w:t>
            </w:r>
            <w:r w:rsidRPr="00F44E8A">
              <w:rPr>
                <w:rFonts w:ascii="標楷體" w:eastAsia="標楷體" w:hAnsi="標楷體" w:cs="Times New Roman"/>
                <w:bCs/>
                <w:color w:val="000000"/>
                <w:kern w:val="0"/>
              </w:rPr>
              <w:t xml:space="preserve">    </w:t>
            </w:r>
            <w:r w:rsidRPr="00F44E8A">
              <w:rPr>
                <w:rFonts w:ascii="標楷體" w:eastAsia="標楷體" w:hAnsi="標楷體" w:cs="Times New Roman" w:hint="eastAsia"/>
                <w:bCs/>
                <w:color w:val="000000"/>
                <w:kern w:val="0"/>
              </w:rPr>
              <w:t>明</w:t>
            </w:r>
          </w:p>
        </w:tc>
      </w:tr>
      <w:tr w:rsidR="009D310B" w:rsidRPr="00F44E8A" w:rsidTr="00554B3A">
        <w:trPr>
          <w:jc w:val="center"/>
        </w:trPr>
        <w:tc>
          <w:tcPr>
            <w:tcW w:w="4181" w:type="dxa"/>
          </w:tcPr>
          <w:p w:rsidR="009D310B" w:rsidRPr="00F44E8A" w:rsidRDefault="00F44E8A" w:rsidP="00FF467A">
            <w:pPr>
              <w:pStyle w:val="a7"/>
              <w:widowControl/>
              <w:numPr>
                <w:ilvl w:val="0"/>
                <w:numId w:val="13"/>
              </w:numPr>
              <w:adjustRightInd w:val="0"/>
              <w:snapToGrid w:val="0"/>
              <w:spacing w:line="360" w:lineRule="exact"/>
              <w:ind w:leftChars="0" w:left="566" w:hanging="566"/>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310B" w:rsidRPr="00F44E8A">
              <w:rPr>
                <w:rFonts w:ascii="標楷體" w:eastAsia="標楷體" w:hAnsi="標楷體" w:cs="新細明體" w:hint="eastAsia"/>
                <w:kern w:val="0"/>
                <w:sz w:val="28"/>
                <w:szCs w:val="28"/>
              </w:rPr>
              <w:t>國家通訊傳播委員會</w:t>
            </w:r>
            <w:r w:rsidR="009D310B" w:rsidRPr="00F44E8A">
              <w:rPr>
                <w:rFonts w:ascii="標楷體" w:eastAsia="標楷體" w:hAnsi="標楷體" w:cs="新細明體"/>
                <w:kern w:val="0"/>
                <w:sz w:val="28"/>
                <w:szCs w:val="28"/>
              </w:rPr>
              <w:t>(</w:t>
            </w:r>
            <w:r w:rsidR="009D310B" w:rsidRPr="00F44E8A">
              <w:rPr>
                <w:rFonts w:ascii="標楷體" w:eastAsia="標楷體" w:hAnsi="標楷體" w:cs="新細明體" w:hint="eastAsia"/>
                <w:kern w:val="0"/>
                <w:sz w:val="28"/>
                <w:szCs w:val="28"/>
              </w:rPr>
              <w:t>以下簡稱本會</w:t>
            </w:r>
            <w:r w:rsidR="009D310B" w:rsidRPr="00F44E8A">
              <w:rPr>
                <w:rFonts w:ascii="標楷體" w:eastAsia="標楷體" w:hAnsi="標楷體" w:cs="新細明體"/>
                <w:kern w:val="0"/>
                <w:sz w:val="28"/>
                <w:szCs w:val="28"/>
              </w:rPr>
              <w:t>)</w:t>
            </w:r>
            <w:r w:rsidR="009D310B" w:rsidRPr="00F44E8A">
              <w:rPr>
                <w:rFonts w:ascii="標楷體" w:eastAsia="標楷體" w:hAnsi="標楷體" w:cs="新細明體" w:hint="eastAsia"/>
                <w:kern w:val="0"/>
                <w:sz w:val="28"/>
                <w:szCs w:val="28"/>
              </w:rPr>
              <w:t>為審查大陸地區人民來</w:t>
            </w:r>
            <w:proofErr w:type="gramStart"/>
            <w:r w:rsidR="009D310B" w:rsidRPr="00F44E8A">
              <w:rPr>
                <w:rFonts w:ascii="標楷體" w:eastAsia="標楷體" w:hAnsi="標楷體" w:cs="新細明體" w:hint="eastAsia"/>
                <w:kern w:val="0"/>
                <w:sz w:val="28"/>
                <w:szCs w:val="28"/>
              </w:rPr>
              <w:t>臺</w:t>
            </w:r>
            <w:proofErr w:type="gramEnd"/>
            <w:r w:rsidR="009D310B" w:rsidRPr="00F44E8A">
              <w:rPr>
                <w:rFonts w:ascii="標楷體" w:eastAsia="標楷體" w:hAnsi="標楷體" w:cs="新細明體" w:hint="eastAsia"/>
                <w:kern w:val="0"/>
                <w:sz w:val="28"/>
                <w:szCs w:val="28"/>
              </w:rPr>
              <w:t>投資第二類電信事業，</w:t>
            </w:r>
            <w:r w:rsidR="00FF467A" w:rsidRPr="00FF467A">
              <w:rPr>
                <w:rFonts w:ascii="標楷體" w:eastAsia="標楷體" w:hAnsi="標楷體" w:cs="新細明體" w:hint="eastAsia"/>
                <w:kern w:val="0"/>
                <w:sz w:val="28"/>
                <w:szCs w:val="28"/>
                <w:u w:val="single"/>
              </w:rPr>
              <w:t>依臺灣地區與大陸地區人民關係條例第七十二條第二項及第七十三條第三項規定授權訂定之</w:t>
            </w:r>
            <w:r w:rsidR="00FF467A" w:rsidRPr="00FF467A">
              <w:rPr>
                <w:rFonts w:ascii="標楷體" w:eastAsia="標楷體" w:hAnsi="標楷體" w:cs="新細明體" w:hint="eastAsia"/>
                <w:color w:val="000000" w:themeColor="text1"/>
                <w:kern w:val="0"/>
                <w:sz w:val="28"/>
                <w:szCs w:val="28"/>
                <w:u w:val="single"/>
              </w:rPr>
              <w:t>大</w:t>
            </w:r>
            <w:r w:rsidR="00FF467A" w:rsidRPr="00FF467A">
              <w:rPr>
                <w:rFonts w:ascii="標楷體" w:eastAsia="標楷體" w:hAnsi="標楷體" w:hint="eastAsia"/>
                <w:color w:val="000000" w:themeColor="text1"/>
                <w:sz w:val="28"/>
                <w:szCs w:val="28"/>
                <w:u w:val="single"/>
              </w:rPr>
              <w:t>陸地區人民來</w:t>
            </w:r>
            <w:proofErr w:type="gramStart"/>
            <w:r w:rsidR="00FF467A" w:rsidRPr="00FF467A">
              <w:rPr>
                <w:rFonts w:ascii="標楷體" w:eastAsia="標楷體" w:hAnsi="標楷體" w:hint="eastAsia"/>
                <w:color w:val="000000" w:themeColor="text1"/>
                <w:sz w:val="28"/>
                <w:szCs w:val="28"/>
                <w:u w:val="single"/>
              </w:rPr>
              <w:t>臺</w:t>
            </w:r>
            <w:proofErr w:type="gramEnd"/>
            <w:r w:rsidR="00FF467A" w:rsidRPr="00FF467A">
              <w:rPr>
                <w:rFonts w:ascii="標楷體" w:eastAsia="標楷體" w:hAnsi="標楷體" w:hint="eastAsia"/>
                <w:color w:val="000000" w:themeColor="text1"/>
                <w:sz w:val="28"/>
                <w:szCs w:val="28"/>
                <w:u w:val="single"/>
              </w:rPr>
              <w:t>投資許可辦法第八條規定</w:t>
            </w:r>
            <w:r w:rsidR="00FF467A" w:rsidRPr="00FF467A">
              <w:rPr>
                <w:rFonts w:ascii="標楷體" w:eastAsia="標楷體" w:hAnsi="標楷體" w:cs="標楷體" w:hint="eastAsia"/>
                <w:color w:val="000000" w:themeColor="text1"/>
                <w:kern w:val="0"/>
                <w:sz w:val="28"/>
                <w:szCs w:val="28"/>
                <w:u w:val="single"/>
                <w:lang w:val="zh-TW"/>
              </w:rPr>
              <w:t>，</w:t>
            </w:r>
            <w:r w:rsidR="009D310B" w:rsidRPr="00F44E8A">
              <w:rPr>
                <w:rFonts w:ascii="標楷體" w:eastAsia="標楷體" w:hAnsi="標楷體" w:cs="新細明體" w:hint="eastAsia"/>
                <w:kern w:val="0"/>
                <w:sz w:val="28"/>
                <w:szCs w:val="28"/>
              </w:rPr>
              <w:t>特訂定本要點。</w:t>
            </w:r>
          </w:p>
        </w:tc>
        <w:tc>
          <w:tcPr>
            <w:tcW w:w="4181" w:type="dxa"/>
          </w:tcPr>
          <w:p w:rsidR="00FF467A" w:rsidRPr="00F44E8A" w:rsidRDefault="009D310B" w:rsidP="00FF467A">
            <w:pPr>
              <w:widowControl/>
              <w:adjustRightInd w:val="0"/>
              <w:snapToGrid w:val="0"/>
              <w:spacing w:line="360" w:lineRule="exact"/>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本會為</w:t>
            </w:r>
            <w:r w:rsidR="00D31235" w:rsidRPr="00D31235">
              <w:rPr>
                <w:rFonts w:ascii="標楷體" w:eastAsia="標楷體" w:hAnsi="標楷體" w:cs="新細明體" w:hint="eastAsia"/>
                <w:kern w:val="0"/>
                <w:sz w:val="28"/>
                <w:szCs w:val="28"/>
                <w:u w:val="single"/>
              </w:rPr>
              <w:t>配合</w:t>
            </w:r>
            <w:r w:rsidRPr="00F44E8A">
              <w:rPr>
                <w:rFonts w:ascii="標楷體" w:eastAsia="標楷體" w:hAnsi="標楷體" w:cs="新細明體" w:hint="eastAsia"/>
                <w:kern w:val="0"/>
                <w:sz w:val="28"/>
                <w:szCs w:val="28"/>
              </w:rPr>
              <w:t>審查大陸地區人民來</w:t>
            </w:r>
            <w:proofErr w:type="gramStart"/>
            <w:r w:rsidRPr="00F44E8A">
              <w:rPr>
                <w:rFonts w:ascii="標楷體" w:eastAsia="標楷體" w:hAnsi="標楷體" w:cs="新細明體" w:hint="eastAsia"/>
                <w:kern w:val="0"/>
                <w:sz w:val="28"/>
                <w:szCs w:val="28"/>
              </w:rPr>
              <w:t>臺</w:t>
            </w:r>
            <w:proofErr w:type="gramEnd"/>
            <w:r w:rsidRPr="00F44E8A">
              <w:rPr>
                <w:rFonts w:ascii="標楷體" w:eastAsia="標楷體" w:hAnsi="標楷體" w:cs="新細明體" w:hint="eastAsia"/>
                <w:kern w:val="0"/>
                <w:sz w:val="28"/>
                <w:szCs w:val="28"/>
              </w:rPr>
              <w:t>投資第二類電信事業，</w:t>
            </w:r>
            <w:proofErr w:type="gramStart"/>
            <w:r w:rsidRPr="00F44E8A">
              <w:rPr>
                <w:rFonts w:ascii="標楷體" w:eastAsia="標楷體" w:hAnsi="標楷體" w:cs="新細明體" w:hint="eastAsia"/>
                <w:kern w:val="0"/>
                <w:sz w:val="28"/>
                <w:szCs w:val="28"/>
              </w:rPr>
              <w:t>爰</w:t>
            </w:r>
            <w:proofErr w:type="gramEnd"/>
            <w:r w:rsidRPr="00F44E8A">
              <w:rPr>
                <w:rFonts w:ascii="標楷體" w:eastAsia="標楷體" w:hAnsi="標楷體" w:cs="新細明體" w:hint="eastAsia"/>
                <w:kern w:val="0"/>
                <w:sz w:val="28"/>
                <w:szCs w:val="28"/>
              </w:rPr>
              <w:t>訂定本要點。</w:t>
            </w:r>
          </w:p>
        </w:tc>
      </w:tr>
      <w:tr w:rsidR="009D310B" w:rsidRPr="00F44E8A" w:rsidTr="00554B3A">
        <w:trPr>
          <w:jc w:val="center"/>
        </w:trPr>
        <w:tc>
          <w:tcPr>
            <w:tcW w:w="4181" w:type="dxa"/>
          </w:tcPr>
          <w:p w:rsidR="009D310B" w:rsidRPr="00F44E8A" w:rsidRDefault="00F44E8A" w:rsidP="00F44E8A">
            <w:pPr>
              <w:pStyle w:val="a7"/>
              <w:widowControl/>
              <w:numPr>
                <w:ilvl w:val="0"/>
                <w:numId w:val="13"/>
              </w:numPr>
              <w:adjustRightInd w:val="0"/>
              <w:snapToGrid w:val="0"/>
              <w:spacing w:line="360" w:lineRule="exact"/>
              <w:ind w:leftChars="0" w:left="566" w:hanging="566"/>
              <w:rPr>
                <w:rFonts w:ascii="標楷體" w:eastAsia="標楷體" w:hAnsi="標楷體" w:cs="Times New Roman"/>
                <w:kern w:val="0"/>
                <w:sz w:val="28"/>
                <w:szCs w:val="28"/>
              </w:rPr>
            </w:pPr>
            <w:r>
              <w:rPr>
                <w:rFonts w:ascii="標楷體" w:eastAsia="標楷體" w:hAnsi="標楷體" w:cs="新細明體" w:hint="eastAsia"/>
                <w:kern w:val="0"/>
                <w:sz w:val="28"/>
                <w:szCs w:val="28"/>
              </w:rPr>
              <w:t xml:space="preserve">    </w:t>
            </w:r>
            <w:r w:rsidR="009D310B" w:rsidRPr="00F44E8A">
              <w:rPr>
                <w:rFonts w:ascii="標楷體" w:eastAsia="標楷體" w:hAnsi="標楷體" w:cs="新細明體" w:hint="eastAsia"/>
                <w:kern w:val="0"/>
                <w:sz w:val="28"/>
                <w:szCs w:val="28"/>
              </w:rPr>
              <w:t>本要點適用投資我國第二類電信事業之營業項目，依經濟部公告大陸地區人民來</w:t>
            </w:r>
            <w:proofErr w:type="gramStart"/>
            <w:r w:rsidR="009D310B" w:rsidRPr="00F44E8A">
              <w:rPr>
                <w:rFonts w:ascii="標楷體" w:eastAsia="標楷體" w:hAnsi="標楷體" w:cs="新細明體" w:hint="eastAsia"/>
                <w:kern w:val="0"/>
                <w:sz w:val="28"/>
                <w:szCs w:val="28"/>
              </w:rPr>
              <w:t>臺</w:t>
            </w:r>
            <w:proofErr w:type="gramEnd"/>
            <w:r w:rsidR="009D310B" w:rsidRPr="00F44E8A">
              <w:rPr>
                <w:rFonts w:ascii="標楷體" w:eastAsia="標楷體" w:hAnsi="標楷體" w:cs="新細明體" w:hint="eastAsia"/>
                <w:kern w:val="0"/>
                <w:sz w:val="28"/>
                <w:szCs w:val="28"/>
              </w:rPr>
              <w:t>投資業別項目有關電信業服務項目為限。</w:t>
            </w:r>
          </w:p>
        </w:tc>
        <w:tc>
          <w:tcPr>
            <w:tcW w:w="4181" w:type="dxa"/>
          </w:tcPr>
          <w:p w:rsidR="009D310B" w:rsidRPr="00F44E8A" w:rsidRDefault="009D310B" w:rsidP="00F44E8A">
            <w:pPr>
              <w:widowControl/>
              <w:numPr>
                <w:ilvl w:val="0"/>
                <w:numId w:val="23"/>
              </w:numPr>
              <w:adjustRightInd w:val="0"/>
              <w:snapToGrid w:val="0"/>
              <w:spacing w:line="360" w:lineRule="exact"/>
              <w:ind w:left="570" w:hanging="570"/>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第二類電信事業一</w:t>
            </w:r>
            <w:r w:rsidRPr="00F44E8A">
              <w:rPr>
                <w:rFonts w:ascii="標楷體" w:eastAsia="標楷體" w:hAnsi="標楷體" w:cs="Times New Roman" w:hint="eastAsia"/>
                <w:bCs/>
                <w:kern w:val="0"/>
                <w:sz w:val="28"/>
                <w:szCs w:val="28"/>
              </w:rPr>
              <w:t>般業務之十一項服務係九十八年經濟部公告開放項目，本次服務貿易協議僅開放三項特殊業務服務，</w:t>
            </w:r>
            <w:proofErr w:type="gramStart"/>
            <w:r w:rsidRPr="00F44E8A">
              <w:rPr>
                <w:rFonts w:ascii="標楷體" w:eastAsia="標楷體" w:hAnsi="標楷體" w:cs="新細明體" w:hint="eastAsia"/>
                <w:kern w:val="0"/>
                <w:sz w:val="28"/>
                <w:szCs w:val="28"/>
              </w:rPr>
              <w:t>爰</w:t>
            </w:r>
            <w:proofErr w:type="gramEnd"/>
            <w:r w:rsidRPr="00F44E8A">
              <w:rPr>
                <w:rFonts w:ascii="標楷體" w:eastAsia="標楷體" w:hAnsi="標楷體" w:cs="新細明體" w:hint="eastAsia"/>
                <w:kern w:val="0"/>
                <w:sz w:val="28"/>
                <w:szCs w:val="28"/>
              </w:rPr>
              <w:t>訂定適用之服務項目範圍。</w:t>
            </w:r>
          </w:p>
          <w:p w:rsidR="00F44E8A" w:rsidRPr="00F44E8A" w:rsidRDefault="00F44E8A" w:rsidP="00F44E8A">
            <w:pPr>
              <w:widowControl/>
              <w:numPr>
                <w:ilvl w:val="0"/>
                <w:numId w:val="23"/>
              </w:numPr>
              <w:adjustRightInd w:val="0"/>
              <w:snapToGrid w:val="0"/>
              <w:spacing w:line="360" w:lineRule="exact"/>
              <w:ind w:left="584" w:hanging="584"/>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適用投資我國第二類</w:t>
            </w:r>
            <w:r w:rsidRPr="00F44E8A">
              <w:rPr>
                <w:rFonts w:ascii="標楷體" w:eastAsia="標楷體" w:hAnsi="標楷體" w:cs="新細明體"/>
                <w:kern w:val="0"/>
                <w:sz w:val="28"/>
                <w:szCs w:val="28"/>
              </w:rPr>
              <w:t xml:space="preserve"> </w:t>
            </w:r>
            <w:r w:rsidRPr="00F44E8A">
              <w:rPr>
                <w:rFonts w:ascii="標楷體" w:eastAsia="標楷體" w:hAnsi="標楷體" w:cs="新細明體" w:hint="eastAsia"/>
                <w:kern w:val="0"/>
                <w:sz w:val="28"/>
                <w:szCs w:val="28"/>
              </w:rPr>
              <w:t>電信事業之營業項目如下：</w:t>
            </w:r>
          </w:p>
          <w:p w:rsidR="00F44E8A" w:rsidRPr="00F44E8A" w:rsidRDefault="00F44E8A" w:rsidP="00F44E8A">
            <w:pPr>
              <w:pStyle w:val="a7"/>
              <w:widowControl/>
              <w:numPr>
                <w:ilvl w:val="1"/>
                <w:numId w:val="1"/>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一般業務開放服務項目：</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批發轉售服務。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公司內部網路通信服務。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語音會議服務。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proofErr w:type="gramStart"/>
            <w:r w:rsidRPr="00F44E8A">
              <w:rPr>
                <w:rFonts w:ascii="標楷體" w:eastAsia="標楷體" w:hAnsi="標楷體" w:cs="新細明體" w:hint="eastAsia"/>
                <w:kern w:val="0"/>
                <w:sz w:val="28"/>
                <w:szCs w:val="28"/>
              </w:rPr>
              <w:t>頻寬轉售</w:t>
            </w:r>
            <w:proofErr w:type="gramEnd"/>
            <w:r w:rsidRPr="00F44E8A">
              <w:rPr>
                <w:rFonts w:ascii="標楷體" w:eastAsia="標楷體" w:hAnsi="標楷體" w:cs="新細明體" w:hint="eastAsia"/>
                <w:kern w:val="0"/>
                <w:sz w:val="28"/>
                <w:szCs w:val="28"/>
              </w:rPr>
              <w:t>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存轉網路服務。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存取網路服務。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視訊會議服務。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數據交換通信服務。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付費語音資訊服務。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行動轉售服務。</w:t>
            </w:r>
          </w:p>
          <w:p w:rsidR="00F44E8A" w:rsidRPr="00F44E8A" w:rsidRDefault="00F44E8A" w:rsidP="00F44E8A">
            <w:pPr>
              <w:pStyle w:val="a7"/>
              <w:widowControl/>
              <w:numPr>
                <w:ilvl w:val="0"/>
                <w:numId w:val="6"/>
              </w:numPr>
              <w:tabs>
                <w:tab w:val="clear" w:pos="1211"/>
              </w:tabs>
              <w:adjustRightInd w:val="0"/>
              <w:snapToGrid w:val="0"/>
              <w:spacing w:line="360" w:lineRule="exact"/>
              <w:ind w:leftChars="0" w:left="1438" w:hanging="58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行動轉售及加值服務。</w:t>
            </w:r>
          </w:p>
          <w:p w:rsidR="00F44E8A" w:rsidRPr="00F44E8A" w:rsidRDefault="00F44E8A" w:rsidP="00F44E8A">
            <w:pPr>
              <w:pStyle w:val="a7"/>
              <w:widowControl/>
              <w:numPr>
                <w:ilvl w:val="1"/>
                <w:numId w:val="1"/>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特殊業務開放服務項目</w:t>
            </w:r>
            <w:r w:rsidR="00671EB5" w:rsidRPr="00A34D98">
              <w:rPr>
                <w:rFonts w:ascii="標楷體" w:eastAsia="標楷體" w:hAnsi="標楷體" w:cs="新細明體"/>
                <w:color w:val="000000" w:themeColor="text1"/>
                <w:kern w:val="0"/>
                <w:sz w:val="28"/>
                <w:szCs w:val="28"/>
                <w:u w:val="single"/>
              </w:rPr>
              <w:t>(</w:t>
            </w:r>
            <w:r w:rsidR="00FC2B6D" w:rsidRPr="00A34D98">
              <w:rPr>
                <w:rFonts w:ascii="標楷體" w:eastAsia="標楷體" w:hAnsi="標楷體" w:cs="新細明體" w:hint="eastAsia"/>
                <w:color w:val="000000" w:themeColor="text1"/>
                <w:kern w:val="0"/>
                <w:sz w:val="28"/>
                <w:szCs w:val="28"/>
                <w:u w:val="single"/>
              </w:rPr>
              <w:t>本項須俟立法院審議通過</w:t>
            </w:r>
            <w:r w:rsidR="00671EB5" w:rsidRPr="00A34D98">
              <w:rPr>
                <w:rFonts w:ascii="標楷體" w:eastAsia="標楷體" w:hAnsi="標楷體" w:cs="新細明體" w:hint="eastAsia"/>
                <w:color w:val="000000" w:themeColor="text1"/>
                <w:kern w:val="0"/>
                <w:sz w:val="28"/>
                <w:szCs w:val="28"/>
                <w:u w:val="single"/>
              </w:rPr>
              <w:t>海峽兩岸服務貿易協議</w:t>
            </w:r>
            <w:r w:rsidR="00CE1263" w:rsidRPr="00A34D98">
              <w:rPr>
                <w:rFonts w:ascii="標楷體" w:eastAsia="標楷體" w:hAnsi="標楷體" w:cs="新細明體" w:hint="eastAsia"/>
                <w:color w:val="000000" w:themeColor="text1"/>
                <w:kern w:val="0"/>
                <w:sz w:val="28"/>
                <w:szCs w:val="28"/>
                <w:u w:val="single"/>
              </w:rPr>
              <w:t>及經濟部公告後</w:t>
            </w:r>
            <w:r w:rsidR="00671EB5" w:rsidRPr="00A34D98">
              <w:rPr>
                <w:rFonts w:ascii="標楷體" w:eastAsia="標楷體" w:hAnsi="標楷體" w:cs="新細明體" w:hint="eastAsia"/>
                <w:color w:val="000000" w:themeColor="text1"/>
                <w:kern w:val="0"/>
                <w:sz w:val="28"/>
                <w:szCs w:val="28"/>
                <w:u w:val="single"/>
              </w:rPr>
              <w:t>始生</w:t>
            </w:r>
            <w:r w:rsidR="00671EB5" w:rsidRPr="00A34D98">
              <w:rPr>
                <w:rFonts w:ascii="標楷體" w:eastAsia="標楷體" w:hAnsi="標楷體" w:cs="新細明體" w:hint="eastAsia"/>
                <w:color w:val="000000" w:themeColor="text1"/>
                <w:kern w:val="0"/>
                <w:sz w:val="28"/>
                <w:szCs w:val="28"/>
                <w:u w:val="single"/>
              </w:rPr>
              <w:lastRenderedPageBreak/>
              <w:t>效</w:t>
            </w:r>
            <w:r w:rsidR="00671EB5" w:rsidRPr="00A34D98">
              <w:rPr>
                <w:rFonts w:ascii="標楷體" w:eastAsia="標楷體" w:hAnsi="標楷體" w:cs="新細明體"/>
                <w:color w:val="000000" w:themeColor="text1"/>
                <w:kern w:val="0"/>
                <w:sz w:val="28"/>
                <w:szCs w:val="28"/>
                <w:u w:val="single"/>
              </w:rPr>
              <w:t>)</w:t>
            </w:r>
            <w:r w:rsidRPr="00F44E8A">
              <w:rPr>
                <w:rFonts w:ascii="標楷體" w:eastAsia="標楷體" w:hAnsi="標楷體" w:cs="新細明體" w:hint="eastAsia"/>
                <w:kern w:val="0"/>
                <w:sz w:val="28"/>
                <w:szCs w:val="28"/>
              </w:rPr>
              <w:t>：</w:t>
            </w:r>
          </w:p>
          <w:p w:rsidR="00F44E8A" w:rsidRPr="00F44E8A" w:rsidRDefault="00F44E8A" w:rsidP="00F44E8A">
            <w:pPr>
              <w:pStyle w:val="a7"/>
              <w:widowControl/>
              <w:numPr>
                <w:ilvl w:val="0"/>
                <w:numId w:val="24"/>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存轉網路服務。</w:t>
            </w:r>
          </w:p>
          <w:p w:rsidR="00F44E8A" w:rsidRPr="00F44E8A" w:rsidRDefault="00F44E8A" w:rsidP="00F44E8A">
            <w:pPr>
              <w:pStyle w:val="a7"/>
              <w:widowControl/>
              <w:numPr>
                <w:ilvl w:val="0"/>
                <w:numId w:val="24"/>
              </w:numPr>
              <w:tabs>
                <w:tab w:val="clear" w:pos="1211"/>
              </w:tabs>
              <w:adjustRightInd w:val="0"/>
              <w:snapToGrid w:val="0"/>
              <w:spacing w:line="360" w:lineRule="exact"/>
              <w:ind w:leftChars="0" w:left="1298" w:hanging="4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存取網路服務。</w:t>
            </w:r>
          </w:p>
          <w:p w:rsidR="009D310B" w:rsidRPr="00F44E8A" w:rsidRDefault="00F44E8A" w:rsidP="00E8178D">
            <w:pPr>
              <w:pStyle w:val="a7"/>
              <w:widowControl/>
              <w:numPr>
                <w:ilvl w:val="0"/>
                <w:numId w:val="24"/>
              </w:numPr>
              <w:tabs>
                <w:tab w:val="clear" w:pos="1211"/>
              </w:tabs>
              <w:adjustRightInd w:val="0"/>
              <w:snapToGrid w:val="0"/>
              <w:spacing w:line="360" w:lineRule="exact"/>
              <w:ind w:leftChars="0" w:left="1298" w:hanging="447"/>
              <w:rPr>
                <w:rFonts w:ascii="標楷體" w:eastAsia="標楷體" w:hAnsi="標楷體" w:cs="Times New Roman"/>
                <w:bCs/>
                <w:color w:val="000000"/>
                <w:kern w:val="0"/>
              </w:rPr>
            </w:pPr>
            <w:r w:rsidRPr="00F44E8A">
              <w:rPr>
                <w:rFonts w:ascii="標楷體" w:eastAsia="標楷體" w:hAnsi="標楷體" w:cs="新細明體" w:hint="eastAsia"/>
                <w:kern w:val="0"/>
                <w:sz w:val="28"/>
                <w:szCs w:val="28"/>
              </w:rPr>
              <w:t>數據交換通信服務。</w:t>
            </w:r>
          </w:p>
        </w:tc>
      </w:tr>
      <w:tr w:rsidR="009D310B" w:rsidRPr="00F44E8A" w:rsidTr="00554B3A">
        <w:trPr>
          <w:jc w:val="center"/>
        </w:trPr>
        <w:tc>
          <w:tcPr>
            <w:tcW w:w="4181" w:type="dxa"/>
          </w:tcPr>
          <w:p w:rsidR="009D310B" w:rsidRPr="00F44E8A" w:rsidRDefault="009D310B" w:rsidP="00554B3A">
            <w:pPr>
              <w:pStyle w:val="a7"/>
              <w:widowControl/>
              <w:numPr>
                <w:ilvl w:val="0"/>
                <w:numId w:val="22"/>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Times New Roman" w:hint="eastAsia"/>
                <w:kern w:val="0"/>
                <w:sz w:val="28"/>
                <w:szCs w:val="28"/>
              </w:rPr>
              <w:lastRenderedPageBreak/>
              <w:t>大陸</w:t>
            </w:r>
            <w:r w:rsidRPr="00F44E8A">
              <w:rPr>
                <w:rFonts w:ascii="標楷體" w:eastAsia="標楷體" w:hAnsi="標楷體" w:cs="新細明體" w:hint="eastAsia"/>
                <w:kern w:val="0"/>
                <w:sz w:val="28"/>
                <w:szCs w:val="28"/>
              </w:rPr>
              <w:t>地區人民來</w:t>
            </w:r>
            <w:proofErr w:type="gramStart"/>
            <w:r w:rsidRPr="00F44E8A">
              <w:rPr>
                <w:rFonts w:ascii="標楷體" w:eastAsia="標楷體" w:hAnsi="標楷體" w:cs="新細明體" w:hint="eastAsia"/>
                <w:kern w:val="0"/>
                <w:sz w:val="28"/>
                <w:szCs w:val="28"/>
              </w:rPr>
              <w:t>臺</w:t>
            </w:r>
            <w:proofErr w:type="gramEnd"/>
            <w:r w:rsidRPr="00F44E8A">
              <w:rPr>
                <w:rFonts w:ascii="標楷體" w:eastAsia="標楷體" w:hAnsi="標楷體" w:cs="新細明體" w:hint="eastAsia"/>
                <w:kern w:val="0"/>
                <w:sz w:val="28"/>
                <w:szCs w:val="28"/>
              </w:rPr>
              <w:t>投資第二類電信事業，應符合下列規定：</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對國家安全或社會治安有無不利影響。</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投資人須為大陸地區或海外上市之電信事業。</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對該被投資事業</w:t>
            </w:r>
            <w:r w:rsidR="00D31235" w:rsidRPr="00A34D98">
              <w:rPr>
                <w:rFonts w:ascii="標楷體" w:eastAsia="標楷體" w:hAnsi="標楷體" w:cs="新細明體" w:hint="eastAsia"/>
                <w:b/>
                <w:color w:val="000000" w:themeColor="text1"/>
                <w:kern w:val="0"/>
                <w:sz w:val="28"/>
                <w:szCs w:val="28"/>
              </w:rPr>
              <w:t>總</w:t>
            </w:r>
            <w:r w:rsidR="00683EBF" w:rsidRPr="00A34D98">
              <w:rPr>
                <w:rFonts w:ascii="標楷體" w:eastAsia="標楷體" w:hAnsi="標楷體" w:cs="新細明體" w:hint="eastAsia"/>
                <w:b/>
                <w:color w:val="000000" w:themeColor="text1"/>
                <w:kern w:val="0"/>
                <w:sz w:val="28"/>
                <w:szCs w:val="28"/>
              </w:rPr>
              <w:t>持股</w:t>
            </w:r>
            <w:r w:rsidR="00375E96" w:rsidRPr="00A34D98">
              <w:rPr>
                <w:rFonts w:ascii="標楷體" w:eastAsia="標楷體" w:hAnsi="標楷體" w:cs="新細明體" w:hint="eastAsia"/>
                <w:b/>
                <w:color w:val="000000" w:themeColor="text1"/>
                <w:kern w:val="0"/>
                <w:sz w:val="28"/>
                <w:szCs w:val="28"/>
              </w:rPr>
              <w:t>或出資</w:t>
            </w:r>
            <w:r w:rsidR="00683EBF" w:rsidRPr="00A34D98">
              <w:rPr>
                <w:rFonts w:ascii="標楷體" w:eastAsia="標楷體" w:hAnsi="標楷體" w:cs="新細明體" w:hint="eastAsia"/>
                <w:b/>
                <w:color w:val="000000" w:themeColor="text1"/>
                <w:kern w:val="0"/>
                <w:sz w:val="28"/>
                <w:szCs w:val="28"/>
              </w:rPr>
              <w:t>比例</w:t>
            </w:r>
            <w:r w:rsidR="00107460" w:rsidRPr="00A34D98">
              <w:rPr>
                <w:rFonts w:ascii="標楷體" w:eastAsia="標楷體" w:hAnsi="標楷體" w:cs="新細明體" w:hint="eastAsia"/>
                <w:kern w:val="0"/>
                <w:sz w:val="28"/>
                <w:szCs w:val="28"/>
              </w:rPr>
              <w:t>不得</w:t>
            </w:r>
            <w:r w:rsidRPr="00A34D98">
              <w:rPr>
                <w:rFonts w:ascii="標楷體" w:eastAsia="標楷體" w:hAnsi="標楷體" w:cs="新細明體" w:hint="eastAsia"/>
                <w:kern w:val="0"/>
                <w:sz w:val="28"/>
                <w:szCs w:val="28"/>
              </w:rPr>
              <w:t>超</w:t>
            </w:r>
            <w:r w:rsidR="00F71C72" w:rsidRPr="00A34D98">
              <w:rPr>
                <w:rFonts w:ascii="標楷體" w:eastAsia="標楷體" w:hAnsi="標楷體" w:cs="新細明體" w:hint="eastAsia"/>
                <w:kern w:val="0"/>
                <w:sz w:val="28"/>
                <w:szCs w:val="28"/>
              </w:rPr>
              <w:t>過</w:t>
            </w:r>
            <w:r w:rsidRPr="00A34D98">
              <w:rPr>
                <w:rFonts w:ascii="標楷體" w:eastAsia="標楷體" w:hAnsi="標楷體" w:cs="新細明體" w:hint="eastAsia"/>
                <w:kern w:val="0"/>
                <w:sz w:val="28"/>
                <w:szCs w:val="28"/>
              </w:rPr>
              <w:t>百分之</w:t>
            </w:r>
            <w:r w:rsidRPr="00F44E8A">
              <w:rPr>
                <w:rFonts w:ascii="標楷體" w:eastAsia="標楷體" w:hAnsi="標楷體" w:cs="新細明體" w:hint="eastAsia"/>
                <w:kern w:val="0"/>
                <w:sz w:val="28"/>
                <w:szCs w:val="28"/>
              </w:rPr>
              <w:t>五十。</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投資人未直接或間接控制被投資事業之人事、財務或業務經營。</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未有下列情形之</w:t>
            </w:r>
            <w:proofErr w:type="gramStart"/>
            <w:r w:rsidRPr="00F44E8A">
              <w:rPr>
                <w:rFonts w:ascii="標楷體" w:eastAsia="標楷體" w:hAnsi="標楷體" w:cs="新細明體" w:hint="eastAsia"/>
                <w:kern w:val="0"/>
                <w:sz w:val="28"/>
                <w:szCs w:val="28"/>
              </w:rPr>
              <w:t>一</w:t>
            </w:r>
            <w:proofErr w:type="gramEnd"/>
            <w:r w:rsidRPr="00F44E8A">
              <w:rPr>
                <w:rFonts w:ascii="標楷體" w:eastAsia="標楷體" w:hAnsi="標楷體" w:cs="新細明體" w:hint="eastAsia"/>
                <w:kern w:val="0"/>
                <w:sz w:val="28"/>
                <w:szCs w:val="28"/>
              </w:rPr>
              <w:t>者：</w:t>
            </w:r>
          </w:p>
          <w:p w:rsidR="009D310B" w:rsidRPr="00F44E8A" w:rsidRDefault="009D310B" w:rsidP="00554B3A">
            <w:pPr>
              <w:pStyle w:val="a7"/>
              <w:widowControl/>
              <w:numPr>
                <w:ilvl w:val="0"/>
                <w:numId w:val="11"/>
              </w:numPr>
              <w:adjustRightInd w:val="0"/>
              <w:snapToGrid w:val="0"/>
              <w:spacing w:line="360" w:lineRule="exact"/>
              <w:ind w:leftChars="0"/>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持有被投資事業有表決權之股份或出資額，超過該被投資事業發行有表決權之股份總數或資本總額半數以上。</w:t>
            </w:r>
          </w:p>
          <w:p w:rsidR="009D310B" w:rsidRPr="00F44E8A" w:rsidRDefault="009D310B" w:rsidP="00554B3A">
            <w:pPr>
              <w:pStyle w:val="a7"/>
              <w:widowControl/>
              <w:numPr>
                <w:ilvl w:val="0"/>
                <w:numId w:val="11"/>
              </w:numPr>
              <w:adjustRightInd w:val="0"/>
              <w:snapToGrid w:val="0"/>
              <w:spacing w:line="360" w:lineRule="exact"/>
              <w:ind w:leftChars="0"/>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任免</w:t>
            </w:r>
            <w:r w:rsidR="00D31235" w:rsidRPr="00A34D98">
              <w:rPr>
                <w:rFonts w:ascii="標楷體" w:eastAsia="標楷體" w:hAnsi="標楷體" w:cs="新細明體" w:hint="eastAsia"/>
                <w:color w:val="0D0D0D" w:themeColor="text1" w:themeTint="F2"/>
                <w:kern w:val="0"/>
                <w:sz w:val="28"/>
                <w:szCs w:val="28"/>
              </w:rPr>
              <w:t>被投資</w:t>
            </w:r>
            <w:r w:rsidR="00D21026" w:rsidRPr="00A34D98">
              <w:rPr>
                <w:rFonts w:ascii="標楷體" w:eastAsia="標楷體" w:hAnsi="標楷體" w:cs="新細明體" w:hint="eastAsia"/>
                <w:color w:val="0D0D0D" w:themeColor="text1" w:themeTint="F2"/>
                <w:kern w:val="0"/>
                <w:sz w:val="28"/>
                <w:szCs w:val="28"/>
              </w:rPr>
              <w:t>事業</w:t>
            </w:r>
            <w:r w:rsidRPr="00F44E8A">
              <w:rPr>
                <w:rFonts w:ascii="標楷體" w:eastAsia="標楷體" w:hAnsi="標楷體" w:cs="新細明體" w:hint="eastAsia"/>
                <w:kern w:val="0"/>
                <w:sz w:val="28"/>
                <w:szCs w:val="28"/>
              </w:rPr>
              <w:t>二分之一以上董事。</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投資人不得與我國固定通信業務經營者合資經營。</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被投資事業應取得</w:t>
            </w:r>
            <w:r w:rsidR="00F71C72" w:rsidRPr="00F71C72">
              <w:rPr>
                <w:rFonts w:ascii="標楷體" w:eastAsia="標楷體" w:hAnsi="標楷體" w:cs="新細明體" w:hint="eastAsia"/>
                <w:kern w:val="0"/>
                <w:sz w:val="28"/>
                <w:szCs w:val="28"/>
                <w:u w:val="single"/>
              </w:rPr>
              <w:t>第三方資訊安全</w:t>
            </w:r>
            <w:r w:rsidRPr="00F44E8A">
              <w:rPr>
                <w:rFonts w:ascii="標楷體" w:eastAsia="標楷體" w:hAnsi="標楷體" w:cs="新細明體" w:hint="eastAsia"/>
                <w:kern w:val="0"/>
                <w:sz w:val="28"/>
                <w:szCs w:val="28"/>
              </w:rPr>
              <w:t>驗證。</w:t>
            </w:r>
          </w:p>
          <w:p w:rsidR="009D310B" w:rsidRPr="00F44E8A" w:rsidRDefault="009D310B" w:rsidP="00F44E8A">
            <w:pPr>
              <w:pStyle w:val="a7"/>
              <w:widowControl/>
              <w:numPr>
                <w:ilvl w:val="1"/>
                <w:numId w:val="17"/>
              </w:numPr>
              <w:adjustRightInd w:val="0"/>
              <w:snapToGrid w:val="0"/>
              <w:spacing w:line="360" w:lineRule="exact"/>
              <w:ind w:left="1047"/>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被投資事業之用戶資料及業務部門、業務系統未移至大陸。</w:t>
            </w:r>
          </w:p>
        </w:tc>
        <w:tc>
          <w:tcPr>
            <w:tcW w:w="4181" w:type="dxa"/>
          </w:tcPr>
          <w:p w:rsidR="009D310B" w:rsidRPr="00F44E8A" w:rsidRDefault="009D310B" w:rsidP="00554B3A">
            <w:pPr>
              <w:pStyle w:val="a7"/>
              <w:widowControl/>
              <w:numPr>
                <w:ilvl w:val="0"/>
                <w:numId w:val="16"/>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Times New Roman" w:hint="eastAsia"/>
                <w:kern w:val="0"/>
                <w:sz w:val="28"/>
                <w:szCs w:val="28"/>
              </w:rPr>
              <w:t>依第二類電信事業管理規則第十四條第一款規定：「經營者之營運不得有下列各款行為：一、危害國家安全或妨害治安。」，</w:t>
            </w:r>
            <w:proofErr w:type="gramStart"/>
            <w:r w:rsidRPr="00F44E8A">
              <w:rPr>
                <w:rFonts w:ascii="標楷體" w:eastAsia="標楷體" w:hAnsi="標楷體" w:cs="Times New Roman" w:hint="eastAsia"/>
                <w:kern w:val="0"/>
                <w:sz w:val="28"/>
                <w:szCs w:val="28"/>
              </w:rPr>
              <w:t>爰</w:t>
            </w:r>
            <w:proofErr w:type="gramEnd"/>
            <w:r w:rsidRPr="00F44E8A">
              <w:rPr>
                <w:rFonts w:ascii="標楷體" w:eastAsia="標楷體" w:hAnsi="標楷體" w:cs="Times New Roman" w:hint="eastAsia"/>
                <w:kern w:val="0"/>
                <w:sz w:val="28"/>
                <w:szCs w:val="28"/>
              </w:rPr>
              <w:t>訂定第一款。</w:t>
            </w:r>
          </w:p>
          <w:p w:rsidR="009D310B" w:rsidRPr="00F44E8A" w:rsidRDefault="009D310B" w:rsidP="00554B3A">
            <w:pPr>
              <w:pStyle w:val="a7"/>
              <w:widowControl/>
              <w:numPr>
                <w:ilvl w:val="0"/>
                <w:numId w:val="16"/>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Times New Roman" w:hint="eastAsia"/>
                <w:kern w:val="0"/>
                <w:sz w:val="28"/>
                <w:szCs w:val="28"/>
              </w:rPr>
              <w:t>為確保大陸或海外電信業者具上市公司水準，並遵循國際規範，</w:t>
            </w:r>
            <w:proofErr w:type="gramStart"/>
            <w:r w:rsidRPr="00F44E8A">
              <w:rPr>
                <w:rFonts w:ascii="標楷體" w:eastAsia="標楷體" w:hAnsi="標楷體" w:cs="Times New Roman" w:hint="eastAsia"/>
                <w:kern w:val="0"/>
                <w:sz w:val="28"/>
                <w:szCs w:val="28"/>
              </w:rPr>
              <w:t>爰</w:t>
            </w:r>
            <w:proofErr w:type="gramEnd"/>
            <w:r w:rsidRPr="00F44E8A">
              <w:rPr>
                <w:rFonts w:ascii="標楷體" w:eastAsia="標楷體" w:hAnsi="標楷體" w:cs="Times New Roman" w:hint="eastAsia"/>
                <w:kern w:val="0"/>
                <w:sz w:val="28"/>
                <w:szCs w:val="28"/>
              </w:rPr>
              <w:t>訂定第二款。</w:t>
            </w:r>
          </w:p>
          <w:p w:rsidR="009D310B" w:rsidRPr="00F44E8A" w:rsidRDefault="009D310B" w:rsidP="00554B3A">
            <w:pPr>
              <w:pStyle w:val="a7"/>
              <w:widowControl/>
              <w:numPr>
                <w:ilvl w:val="0"/>
                <w:numId w:val="16"/>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Times New Roman" w:hint="eastAsia"/>
                <w:kern w:val="0"/>
                <w:sz w:val="28"/>
                <w:szCs w:val="28"/>
              </w:rPr>
              <w:t>為防止陸資對我方業者的董事會及財務、營運及人事方向具影響或控制力，</w:t>
            </w:r>
            <w:proofErr w:type="gramStart"/>
            <w:r w:rsidRPr="00F44E8A">
              <w:rPr>
                <w:rFonts w:ascii="標楷體" w:eastAsia="標楷體" w:hAnsi="標楷體" w:cs="Times New Roman" w:hint="eastAsia"/>
                <w:kern w:val="0"/>
                <w:sz w:val="28"/>
                <w:szCs w:val="28"/>
              </w:rPr>
              <w:t>爰</w:t>
            </w:r>
            <w:proofErr w:type="gramEnd"/>
            <w:r w:rsidRPr="00F44E8A">
              <w:rPr>
                <w:rFonts w:ascii="標楷體" w:eastAsia="標楷體" w:hAnsi="標楷體" w:cs="Times New Roman" w:hint="eastAsia"/>
                <w:kern w:val="0"/>
                <w:sz w:val="28"/>
                <w:szCs w:val="28"/>
              </w:rPr>
              <w:t>訂定第三款至第五款。</w:t>
            </w:r>
          </w:p>
          <w:p w:rsidR="009D310B" w:rsidRPr="00F44E8A" w:rsidRDefault="009D310B" w:rsidP="00554B3A">
            <w:pPr>
              <w:pStyle w:val="a7"/>
              <w:widowControl/>
              <w:numPr>
                <w:ilvl w:val="0"/>
                <w:numId w:val="16"/>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Times New Roman" w:hint="eastAsia"/>
                <w:kern w:val="0"/>
                <w:sz w:val="28"/>
                <w:szCs w:val="28"/>
              </w:rPr>
              <w:t>為防止大陸或海外電信業者藉由與固定通信網路業者共同投資第二類電信業者，控制我方固定通信網路業者之網路或系統，</w:t>
            </w:r>
            <w:proofErr w:type="gramStart"/>
            <w:r w:rsidRPr="00F44E8A">
              <w:rPr>
                <w:rFonts w:ascii="標楷體" w:eastAsia="標楷體" w:hAnsi="標楷體" w:cs="Times New Roman" w:hint="eastAsia"/>
                <w:kern w:val="0"/>
                <w:sz w:val="28"/>
                <w:szCs w:val="28"/>
              </w:rPr>
              <w:t>爰</w:t>
            </w:r>
            <w:proofErr w:type="gramEnd"/>
            <w:r w:rsidRPr="00F44E8A">
              <w:rPr>
                <w:rFonts w:ascii="標楷體" w:eastAsia="標楷體" w:hAnsi="標楷體" w:cs="Times New Roman" w:hint="eastAsia"/>
                <w:kern w:val="0"/>
                <w:sz w:val="28"/>
                <w:szCs w:val="28"/>
              </w:rPr>
              <w:t>訂定第六款。</w:t>
            </w:r>
          </w:p>
          <w:p w:rsidR="009D310B" w:rsidRPr="00F44E8A" w:rsidRDefault="009D310B" w:rsidP="00554B3A">
            <w:pPr>
              <w:pStyle w:val="a7"/>
              <w:widowControl/>
              <w:numPr>
                <w:ilvl w:val="0"/>
                <w:numId w:val="16"/>
              </w:numPr>
              <w:adjustRightInd w:val="0"/>
              <w:snapToGrid w:val="0"/>
              <w:spacing w:line="360" w:lineRule="exact"/>
              <w:ind w:leftChars="0"/>
              <w:rPr>
                <w:rFonts w:ascii="標楷體" w:eastAsia="標楷體" w:hAnsi="標楷體" w:cs="Times New Roman"/>
                <w:kern w:val="0"/>
                <w:sz w:val="28"/>
                <w:szCs w:val="28"/>
              </w:rPr>
            </w:pPr>
            <w:proofErr w:type="gramStart"/>
            <w:r w:rsidRPr="00F44E8A">
              <w:rPr>
                <w:rFonts w:ascii="標楷體" w:eastAsia="標楷體" w:hAnsi="標楷體" w:cs="Times New Roman" w:hint="eastAsia"/>
                <w:kern w:val="0"/>
                <w:sz w:val="28"/>
                <w:szCs w:val="28"/>
              </w:rPr>
              <w:t>陸方投資</w:t>
            </w:r>
            <w:proofErr w:type="gramEnd"/>
            <w:r w:rsidRPr="00F44E8A">
              <w:rPr>
                <w:rFonts w:ascii="標楷體" w:eastAsia="標楷體" w:hAnsi="標楷體" w:cs="Times New Roman" w:hint="eastAsia"/>
                <w:kern w:val="0"/>
                <w:sz w:val="28"/>
                <w:szCs w:val="28"/>
              </w:rPr>
              <w:t>之我國電信業者應取得符合國際認證</w:t>
            </w:r>
            <w:r w:rsidRPr="00F44E8A">
              <w:rPr>
                <w:rFonts w:ascii="標楷體" w:eastAsia="標楷體" w:hAnsi="標楷體" w:cs="Times New Roman"/>
                <w:kern w:val="0"/>
                <w:sz w:val="28"/>
                <w:szCs w:val="28"/>
              </w:rPr>
              <w:t>ISO/IEC 27001</w:t>
            </w:r>
            <w:r w:rsidRPr="00F44E8A">
              <w:rPr>
                <w:rFonts w:ascii="標楷體" w:eastAsia="標楷體" w:hAnsi="標楷體" w:cs="Times New Roman" w:hint="eastAsia"/>
                <w:kern w:val="0"/>
                <w:sz w:val="28"/>
                <w:szCs w:val="28"/>
              </w:rPr>
              <w:t>及</w:t>
            </w:r>
            <w:r w:rsidRPr="00F44E8A">
              <w:rPr>
                <w:rFonts w:ascii="標楷體" w:eastAsia="標楷體" w:hAnsi="標楷體" w:cs="Times New Roman"/>
                <w:kern w:val="0"/>
                <w:sz w:val="28"/>
                <w:szCs w:val="28"/>
              </w:rPr>
              <w:t>27011</w:t>
            </w:r>
            <w:proofErr w:type="gramStart"/>
            <w:r w:rsidRPr="00F44E8A">
              <w:rPr>
                <w:rFonts w:ascii="標楷體" w:eastAsia="標楷體" w:hAnsi="標楷體" w:cs="Times New Roman" w:hint="eastAsia"/>
                <w:kern w:val="0"/>
                <w:sz w:val="28"/>
                <w:szCs w:val="28"/>
              </w:rPr>
              <w:t>增項稽核</w:t>
            </w:r>
            <w:proofErr w:type="gramEnd"/>
            <w:r w:rsidRPr="00F44E8A">
              <w:rPr>
                <w:rFonts w:ascii="標楷體" w:eastAsia="標楷體" w:hAnsi="標楷體" w:cs="Times New Roman" w:hint="eastAsia"/>
                <w:kern w:val="0"/>
                <w:sz w:val="28"/>
                <w:szCs w:val="28"/>
              </w:rPr>
              <w:t>等</w:t>
            </w:r>
            <w:r w:rsidR="00C10FEA" w:rsidRPr="00F71C72">
              <w:rPr>
                <w:rFonts w:ascii="標楷體" w:eastAsia="標楷體" w:hAnsi="標楷體" w:cs="新細明體" w:hint="eastAsia"/>
                <w:kern w:val="0"/>
                <w:sz w:val="28"/>
                <w:szCs w:val="28"/>
                <w:u w:val="single"/>
              </w:rPr>
              <w:t>第三方資訊安全</w:t>
            </w:r>
            <w:r w:rsidRPr="00F44E8A">
              <w:rPr>
                <w:rFonts w:ascii="標楷體" w:eastAsia="標楷體" w:hAnsi="標楷體" w:cs="Times New Roman" w:hint="eastAsia"/>
                <w:kern w:val="0"/>
                <w:sz w:val="28"/>
                <w:szCs w:val="28"/>
              </w:rPr>
              <w:t>驗證合格證明，</w:t>
            </w:r>
            <w:proofErr w:type="gramStart"/>
            <w:r w:rsidRPr="00F44E8A">
              <w:rPr>
                <w:rFonts w:ascii="標楷體" w:eastAsia="標楷體" w:hAnsi="標楷體" w:cs="Times New Roman" w:hint="eastAsia"/>
                <w:kern w:val="0"/>
                <w:sz w:val="28"/>
                <w:szCs w:val="28"/>
              </w:rPr>
              <w:t>爰</w:t>
            </w:r>
            <w:proofErr w:type="gramEnd"/>
            <w:r w:rsidRPr="00F44E8A">
              <w:rPr>
                <w:rFonts w:ascii="標楷體" w:eastAsia="標楷體" w:hAnsi="標楷體" w:cs="Times New Roman" w:hint="eastAsia"/>
                <w:kern w:val="0"/>
                <w:sz w:val="28"/>
                <w:szCs w:val="28"/>
              </w:rPr>
              <w:t>訂定第七款，以確保我方業者資通安全管理機制具國際水準，防止陸資對業者資料、系統、設備及網路之控制。</w:t>
            </w:r>
          </w:p>
          <w:p w:rsidR="009D310B" w:rsidRPr="00F44E8A" w:rsidRDefault="009D310B" w:rsidP="00554B3A">
            <w:pPr>
              <w:pStyle w:val="a7"/>
              <w:widowControl/>
              <w:numPr>
                <w:ilvl w:val="0"/>
                <w:numId w:val="16"/>
              </w:numPr>
              <w:adjustRightInd w:val="0"/>
              <w:snapToGrid w:val="0"/>
              <w:spacing w:line="360" w:lineRule="exact"/>
              <w:ind w:leftChars="0"/>
              <w:rPr>
                <w:rFonts w:ascii="標楷體" w:eastAsia="標楷體" w:hAnsi="標楷體" w:cs="Times New Roman"/>
                <w:bCs/>
                <w:kern w:val="0"/>
                <w:sz w:val="28"/>
                <w:szCs w:val="28"/>
              </w:rPr>
            </w:pPr>
            <w:r w:rsidRPr="00F44E8A">
              <w:rPr>
                <w:rFonts w:ascii="標楷體" w:eastAsia="標楷體" w:hAnsi="標楷體" w:cs="Times New Roman" w:hint="eastAsia"/>
                <w:kern w:val="0"/>
                <w:sz w:val="28"/>
                <w:szCs w:val="28"/>
              </w:rPr>
              <w:t>為確保我方用戶資料及業者系統不</w:t>
            </w:r>
            <w:proofErr w:type="gramStart"/>
            <w:r w:rsidRPr="00F44E8A">
              <w:rPr>
                <w:rFonts w:ascii="標楷體" w:eastAsia="標楷體" w:hAnsi="標楷體" w:cs="Times New Roman" w:hint="eastAsia"/>
                <w:kern w:val="0"/>
                <w:sz w:val="28"/>
                <w:szCs w:val="28"/>
              </w:rPr>
              <w:t>被陸方掌握</w:t>
            </w:r>
            <w:proofErr w:type="gramEnd"/>
            <w:r w:rsidRPr="00F44E8A">
              <w:rPr>
                <w:rFonts w:ascii="標楷體" w:eastAsia="標楷體" w:hAnsi="標楷體" w:cs="Times New Roman" w:hint="eastAsia"/>
                <w:kern w:val="0"/>
                <w:sz w:val="28"/>
                <w:szCs w:val="28"/>
              </w:rPr>
              <w:t>，</w:t>
            </w:r>
            <w:proofErr w:type="gramStart"/>
            <w:r w:rsidRPr="00F44E8A">
              <w:rPr>
                <w:rFonts w:ascii="標楷體" w:eastAsia="標楷體" w:hAnsi="標楷體" w:cs="Times New Roman" w:hint="eastAsia"/>
                <w:kern w:val="0"/>
                <w:sz w:val="28"/>
                <w:szCs w:val="28"/>
              </w:rPr>
              <w:t>爰</w:t>
            </w:r>
            <w:proofErr w:type="gramEnd"/>
            <w:r w:rsidRPr="00F44E8A">
              <w:rPr>
                <w:rFonts w:ascii="標楷體" w:eastAsia="標楷體" w:hAnsi="標楷體" w:cs="Times New Roman" w:hint="eastAsia"/>
                <w:kern w:val="0"/>
                <w:sz w:val="28"/>
                <w:szCs w:val="28"/>
              </w:rPr>
              <w:t>訂定第八款，</w:t>
            </w:r>
            <w:proofErr w:type="gramStart"/>
            <w:r w:rsidRPr="00F44E8A">
              <w:rPr>
                <w:rFonts w:ascii="標楷體" w:eastAsia="標楷體" w:hAnsi="標楷體" w:cs="Times New Roman" w:hint="eastAsia"/>
                <w:kern w:val="0"/>
                <w:sz w:val="28"/>
                <w:szCs w:val="28"/>
              </w:rPr>
              <w:t>規定陸方投資</w:t>
            </w:r>
            <w:proofErr w:type="gramEnd"/>
            <w:r w:rsidRPr="00F44E8A">
              <w:rPr>
                <w:rFonts w:ascii="標楷體" w:eastAsia="標楷體" w:hAnsi="標楷體" w:cs="Times New Roman" w:hint="eastAsia"/>
                <w:kern w:val="0"/>
                <w:sz w:val="28"/>
                <w:szCs w:val="28"/>
              </w:rPr>
              <w:t>之我國業者不得將用戶資料、業務部門、業務功能及</w:t>
            </w:r>
            <w:proofErr w:type="gramStart"/>
            <w:r w:rsidRPr="00F44E8A">
              <w:rPr>
                <w:rFonts w:ascii="標楷體" w:eastAsia="標楷體" w:hAnsi="標楷體" w:cs="Times New Roman" w:hint="eastAsia"/>
                <w:kern w:val="0"/>
                <w:sz w:val="28"/>
                <w:szCs w:val="28"/>
              </w:rPr>
              <w:lastRenderedPageBreak/>
              <w:t>系統等移往</w:t>
            </w:r>
            <w:proofErr w:type="gramEnd"/>
            <w:r w:rsidRPr="00F44E8A">
              <w:rPr>
                <w:rFonts w:ascii="標楷體" w:eastAsia="標楷體" w:hAnsi="標楷體" w:cs="Times New Roman" w:hint="eastAsia"/>
                <w:kern w:val="0"/>
                <w:sz w:val="28"/>
                <w:szCs w:val="28"/>
              </w:rPr>
              <w:t>大陸地區。</w:t>
            </w:r>
          </w:p>
        </w:tc>
      </w:tr>
      <w:tr w:rsidR="009D310B" w:rsidRPr="00F44E8A" w:rsidTr="00554B3A">
        <w:trPr>
          <w:jc w:val="center"/>
        </w:trPr>
        <w:tc>
          <w:tcPr>
            <w:tcW w:w="4181" w:type="dxa"/>
          </w:tcPr>
          <w:p w:rsidR="009D310B" w:rsidRPr="00F44E8A" w:rsidRDefault="009D310B" w:rsidP="00554B3A">
            <w:pPr>
              <w:pStyle w:val="a7"/>
              <w:widowControl/>
              <w:numPr>
                <w:ilvl w:val="0"/>
                <w:numId w:val="22"/>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lastRenderedPageBreak/>
              <w:t>投資人應檢附投資計畫書，載明下列資料：</w:t>
            </w:r>
          </w:p>
          <w:p w:rsidR="009D310B" w:rsidRPr="00F44E8A" w:rsidRDefault="009D310B" w:rsidP="00554B3A">
            <w:pPr>
              <w:pStyle w:val="a7"/>
              <w:widowControl/>
              <w:numPr>
                <w:ilvl w:val="1"/>
                <w:numId w:val="18"/>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事業經營考量因素，包括投資人過去及未來三年於我國、大陸及其他海外地區投資及營運情形。</w:t>
            </w:r>
          </w:p>
          <w:p w:rsidR="009D310B" w:rsidRPr="00F44E8A" w:rsidRDefault="009D310B" w:rsidP="00F44E8A">
            <w:pPr>
              <w:pStyle w:val="a7"/>
              <w:widowControl/>
              <w:numPr>
                <w:ilvl w:val="1"/>
                <w:numId w:val="18"/>
              </w:numPr>
              <w:adjustRightInd w:val="0"/>
              <w:snapToGrid w:val="0"/>
              <w:spacing w:line="360" w:lineRule="exact"/>
              <w:ind w:left="1047"/>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財務及資金取得運用情況，包括投資人財務及投資所需資金籌措與運用情形。</w:t>
            </w:r>
          </w:p>
          <w:p w:rsidR="009D310B" w:rsidRPr="00F44E8A" w:rsidRDefault="009D310B" w:rsidP="00F44E8A">
            <w:pPr>
              <w:pStyle w:val="a7"/>
              <w:widowControl/>
              <w:numPr>
                <w:ilvl w:val="1"/>
                <w:numId w:val="18"/>
              </w:numPr>
              <w:adjustRightInd w:val="0"/>
              <w:snapToGrid w:val="0"/>
              <w:spacing w:line="360" w:lineRule="exact"/>
              <w:ind w:left="1047"/>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勞動事項，包括被投資事業員工僱用情形、大陸地區人民來</w:t>
            </w:r>
            <w:proofErr w:type="gramStart"/>
            <w:r w:rsidRPr="00F44E8A">
              <w:rPr>
                <w:rFonts w:ascii="標楷體" w:eastAsia="標楷體" w:hAnsi="標楷體" w:cs="新細明體" w:hint="eastAsia"/>
                <w:kern w:val="0"/>
                <w:sz w:val="28"/>
                <w:szCs w:val="28"/>
              </w:rPr>
              <w:t>臺</w:t>
            </w:r>
            <w:proofErr w:type="gramEnd"/>
            <w:r w:rsidRPr="00F44E8A">
              <w:rPr>
                <w:rFonts w:ascii="標楷體" w:eastAsia="標楷體" w:hAnsi="標楷體" w:cs="新細明體" w:hint="eastAsia"/>
                <w:kern w:val="0"/>
                <w:sz w:val="28"/>
                <w:szCs w:val="28"/>
              </w:rPr>
              <w:t>投資造成該被投資事業員工僱用之變化、僱用大陸籍員工及因大陸投資而有裁減臺灣員工之情形。投資對我國經濟發展之貢獻，包括對被投資事業營收或收益之增益評估。其他相關事項：包括大陸地區給予之獎勵及可能之合作關係等。</w:t>
            </w:r>
          </w:p>
        </w:tc>
        <w:tc>
          <w:tcPr>
            <w:tcW w:w="4181" w:type="dxa"/>
          </w:tcPr>
          <w:p w:rsidR="00841390" w:rsidRDefault="009D310B">
            <w:pPr>
              <w:widowControl/>
              <w:adjustRightInd w:val="0"/>
              <w:snapToGrid w:val="0"/>
              <w:spacing w:line="360" w:lineRule="exact"/>
              <w:rPr>
                <w:rFonts w:ascii="標楷體" w:eastAsia="標楷體" w:hAnsi="標楷體" w:cs="Times New Roman"/>
                <w:kern w:val="0"/>
                <w:sz w:val="28"/>
                <w:szCs w:val="28"/>
              </w:rPr>
            </w:pPr>
            <w:r w:rsidRPr="00F44E8A">
              <w:rPr>
                <w:rFonts w:ascii="標楷體" w:eastAsia="標楷體" w:hAnsi="標楷體" w:cs="Times New Roman" w:hint="eastAsia"/>
                <w:bCs/>
                <w:kern w:val="0"/>
                <w:sz w:val="28"/>
                <w:szCs w:val="28"/>
              </w:rPr>
              <w:t>為瞭解</w:t>
            </w:r>
            <w:r w:rsidRPr="00F44E8A">
              <w:rPr>
                <w:rFonts w:ascii="標楷體" w:eastAsia="標楷體" w:hAnsi="標楷體" w:cs="新細明體" w:hint="eastAsia"/>
                <w:kern w:val="0"/>
                <w:sz w:val="28"/>
                <w:szCs w:val="28"/>
              </w:rPr>
              <w:t>投資人事業經營狀況、財務及資金取得情形、第二類電信事業員工僱用情形與投資之經濟發展貢獻及產業帶動情況，</w:t>
            </w:r>
            <w:proofErr w:type="gramStart"/>
            <w:r w:rsidRPr="00F44E8A">
              <w:rPr>
                <w:rFonts w:ascii="標楷體" w:eastAsia="標楷體" w:hAnsi="標楷體" w:cs="新細明體" w:hint="eastAsia"/>
                <w:kern w:val="0"/>
                <w:sz w:val="28"/>
                <w:szCs w:val="28"/>
              </w:rPr>
              <w:t>爰</w:t>
            </w:r>
            <w:proofErr w:type="gramEnd"/>
            <w:r w:rsidRPr="00F44E8A">
              <w:rPr>
                <w:rFonts w:ascii="標楷體" w:eastAsia="標楷體" w:hAnsi="標楷體" w:cs="新細明體" w:hint="eastAsia"/>
                <w:kern w:val="0"/>
                <w:sz w:val="28"/>
                <w:szCs w:val="28"/>
              </w:rPr>
              <w:t>請投資人</w:t>
            </w:r>
            <w:r w:rsidR="00671EB5" w:rsidRPr="00A34D98">
              <w:rPr>
                <w:rFonts w:ascii="標楷體" w:eastAsia="標楷體" w:hAnsi="標楷體" w:cs="新細明體" w:hint="eastAsia"/>
                <w:color w:val="0D0D0D" w:themeColor="text1" w:themeTint="F2"/>
                <w:kern w:val="0"/>
                <w:sz w:val="28"/>
                <w:szCs w:val="28"/>
              </w:rPr>
              <w:t>檢附相關</w:t>
            </w:r>
            <w:r w:rsidRPr="00F44E8A">
              <w:rPr>
                <w:rFonts w:ascii="標楷體" w:eastAsia="標楷體" w:hAnsi="標楷體" w:cs="新細明體" w:hint="eastAsia"/>
                <w:kern w:val="0"/>
                <w:sz w:val="28"/>
                <w:szCs w:val="28"/>
              </w:rPr>
              <w:t>投資計畫書。</w:t>
            </w:r>
          </w:p>
        </w:tc>
      </w:tr>
      <w:tr w:rsidR="009D310B" w:rsidRPr="00F44E8A" w:rsidTr="00554B3A">
        <w:trPr>
          <w:jc w:val="center"/>
        </w:trPr>
        <w:tc>
          <w:tcPr>
            <w:tcW w:w="4181" w:type="dxa"/>
          </w:tcPr>
          <w:p w:rsidR="009D310B" w:rsidRPr="00F44E8A" w:rsidRDefault="009D310B" w:rsidP="00554B3A">
            <w:pPr>
              <w:pStyle w:val="a7"/>
              <w:widowControl/>
              <w:numPr>
                <w:ilvl w:val="0"/>
                <w:numId w:val="22"/>
              </w:numPr>
              <w:adjustRightInd w:val="0"/>
              <w:snapToGrid w:val="0"/>
              <w:spacing w:line="360" w:lineRule="exact"/>
              <w:ind w:leftChars="0"/>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t>經審查小組審查之投資案件，本會必要時得對被投資事業進行實地查核。</w:t>
            </w:r>
          </w:p>
        </w:tc>
        <w:tc>
          <w:tcPr>
            <w:tcW w:w="4181" w:type="dxa"/>
          </w:tcPr>
          <w:p w:rsidR="009D310B" w:rsidRPr="00F44E8A" w:rsidRDefault="009D310B" w:rsidP="00397B6F">
            <w:pPr>
              <w:widowControl/>
              <w:tabs>
                <w:tab w:val="num" w:pos="426"/>
              </w:tabs>
              <w:adjustRightInd w:val="0"/>
              <w:snapToGrid w:val="0"/>
              <w:spacing w:line="360" w:lineRule="exact"/>
              <w:rPr>
                <w:rFonts w:ascii="標楷體" w:eastAsia="標楷體" w:hAnsi="標楷體" w:cs="Times New Roman"/>
                <w:bCs/>
                <w:kern w:val="0"/>
                <w:sz w:val="28"/>
                <w:szCs w:val="28"/>
              </w:rPr>
            </w:pPr>
            <w:r w:rsidRPr="00F44E8A">
              <w:rPr>
                <w:rFonts w:ascii="標楷體" w:eastAsia="標楷體" w:hAnsi="標楷體" w:cs="新細明體" w:hint="eastAsia"/>
                <w:kern w:val="0"/>
                <w:sz w:val="28"/>
                <w:szCs w:val="28"/>
              </w:rPr>
              <w:t>依電信法第五十二條及第五十五條第二項規定，</w:t>
            </w:r>
            <w:r w:rsidR="00D31235" w:rsidRPr="00A34D98">
              <w:rPr>
                <w:rFonts w:ascii="標楷體" w:eastAsia="標楷體" w:hAnsi="標楷體" w:cs="新細明體" w:hint="eastAsia"/>
                <w:color w:val="0D0D0D" w:themeColor="text1" w:themeTint="F2"/>
                <w:kern w:val="0"/>
                <w:sz w:val="28"/>
                <w:szCs w:val="28"/>
              </w:rPr>
              <w:t>申請投資之案件，</w:t>
            </w:r>
            <w:r w:rsidR="00D31235" w:rsidRPr="00A34D98">
              <w:rPr>
                <w:rFonts w:ascii="標楷體" w:eastAsia="標楷體" w:hAnsi="標楷體" w:cs="新細明體" w:hint="eastAsia"/>
                <w:color w:val="000000" w:themeColor="text1"/>
                <w:kern w:val="0"/>
                <w:sz w:val="28"/>
                <w:szCs w:val="28"/>
                <w:u w:val="single"/>
              </w:rPr>
              <w:t>本會</w:t>
            </w:r>
            <w:r w:rsidRPr="00F44E8A">
              <w:rPr>
                <w:rFonts w:ascii="標楷體" w:eastAsia="標楷體" w:hAnsi="標楷體" w:cs="新細明體" w:hint="eastAsia"/>
                <w:kern w:val="0"/>
                <w:sz w:val="28"/>
                <w:szCs w:val="28"/>
              </w:rPr>
              <w:t>必要時，得對其進行行政檢查，</w:t>
            </w:r>
            <w:proofErr w:type="gramStart"/>
            <w:r w:rsidRPr="00F44E8A">
              <w:rPr>
                <w:rFonts w:ascii="標楷體" w:eastAsia="標楷體" w:hAnsi="標楷體" w:cs="新細明體" w:hint="eastAsia"/>
                <w:kern w:val="0"/>
                <w:sz w:val="28"/>
                <w:szCs w:val="28"/>
              </w:rPr>
              <w:t>爰</w:t>
            </w:r>
            <w:proofErr w:type="gramEnd"/>
            <w:r w:rsidRPr="00F44E8A">
              <w:rPr>
                <w:rFonts w:ascii="標楷體" w:eastAsia="標楷體" w:hAnsi="標楷體" w:cs="新細明體" w:hint="eastAsia"/>
                <w:kern w:val="0"/>
                <w:sz w:val="28"/>
                <w:szCs w:val="28"/>
              </w:rPr>
              <w:t>訂定本點。</w:t>
            </w:r>
          </w:p>
        </w:tc>
      </w:tr>
      <w:tr w:rsidR="009D310B" w:rsidRPr="00F44E8A" w:rsidTr="00554B3A">
        <w:trPr>
          <w:jc w:val="center"/>
        </w:trPr>
        <w:tc>
          <w:tcPr>
            <w:tcW w:w="4181" w:type="dxa"/>
          </w:tcPr>
          <w:p w:rsidR="009D310B" w:rsidRPr="00F44E8A" w:rsidRDefault="009D310B" w:rsidP="00554B3A">
            <w:pPr>
              <w:pStyle w:val="a7"/>
              <w:widowControl/>
              <w:numPr>
                <w:ilvl w:val="0"/>
                <w:numId w:val="22"/>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有下列情形之</w:t>
            </w:r>
            <w:proofErr w:type="gramStart"/>
            <w:r w:rsidRPr="00F44E8A">
              <w:rPr>
                <w:rFonts w:ascii="標楷體" w:eastAsia="標楷體" w:hAnsi="標楷體" w:cs="新細明體" w:hint="eastAsia"/>
                <w:kern w:val="0"/>
                <w:sz w:val="28"/>
                <w:szCs w:val="28"/>
              </w:rPr>
              <w:t>一</w:t>
            </w:r>
            <w:proofErr w:type="gramEnd"/>
            <w:r w:rsidRPr="00F44E8A">
              <w:rPr>
                <w:rFonts w:ascii="標楷體" w:eastAsia="標楷體" w:hAnsi="標楷體" w:cs="新細明體" w:hint="eastAsia"/>
                <w:kern w:val="0"/>
                <w:sz w:val="28"/>
                <w:szCs w:val="28"/>
              </w:rPr>
              <w:t>者，本會得函請經濟部投資審議委員會撤銷或廢止許可：</w:t>
            </w:r>
          </w:p>
          <w:p w:rsidR="009D310B" w:rsidRPr="00F44E8A" w:rsidRDefault="009D310B" w:rsidP="00554B3A">
            <w:pPr>
              <w:pStyle w:val="a7"/>
              <w:widowControl/>
              <w:numPr>
                <w:ilvl w:val="1"/>
                <w:numId w:val="19"/>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投資人未履行投資</w:t>
            </w:r>
            <w:r w:rsidR="00F71C72" w:rsidRPr="00F71C72">
              <w:rPr>
                <w:rFonts w:ascii="標楷體" w:eastAsia="標楷體" w:hAnsi="標楷體" w:cs="新細明體" w:hint="eastAsia"/>
                <w:kern w:val="0"/>
                <w:sz w:val="28"/>
                <w:szCs w:val="28"/>
                <w:u w:val="single"/>
              </w:rPr>
              <w:t>或承諾</w:t>
            </w:r>
            <w:r w:rsidRPr="00F44E8A">
              <w:rPr>
                <w:rFonts w:ascii="標楷體" w:eastAsia="標楷體" w:hAnsi="標楷體" w:cs="新細明體" w:hint="eastAsia"/>
                <w:kern w:val="0"/>
                <w:sz w:val="28"/>
                <w:szCs w:val="28"/>
              </w:rPr>
              <w:t>相關事項。</w:t>
            </w:r>
          </w:p>
          <w:p w:rsidR="009D310B" w:rsidRPr="00F44E8A" w:rsidRDefault="009D310B" w:rsidP="00554B3A">
            <w:pPr>
              <w:pStyle w:val="a7"/>
              <w:widowControl/>
              <w:numPr>
                <w:ilvl w:val="1"/>
                <w:numId w:val="19"/>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未依期限提供資料或有提報不實之情事。</w:t>
            </w:r>
          </w:p>
        </w:tc>
        <w:tc>
          <w:tcPr>
            <w:tcW w:w="4181" w:type="dxa"/>
          </w:tcPr>
          <w:p w:rsidR="009D310B" w:rsidRPr="00A34D98" w:rsidRDefault="009D310B" w:rsidP="00A34D98">
            <w:pPr>
              <w:widowControl/>
              <w:adjustRightInd w:val="0"/>
              <w:snapToGrid w:val="0"/>
              <w:spacing w:line="360" w:lineRule="exact"/>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投資人未履行投資相關事項或未依期限提供資料或有提報不實之情事，本會得函請經濟部投資審議委員會撤銷或廢止許可，爰訂定本點之規定。</w:t>
            </w:r>
          </w:p>
        </w:tc>
      </w:tr>
      <w:tr w:rsidR="009D310B" w:rsidRPr="00F44E8A" w:rsidTr="00554B3A">
        <w:trPr>
          <w:jc w:val="center"/>
        </w:trPr>
        <w:tc>
          <w:tcPr>
            <w:tcW w:w="4181" w:type="dxa"/>
          </w:tcPr>
          <w:p w:rsidR="009D310B" w:rsidRPr="00F44E8A" w:rsidRDefault="009D310B" w:rsidP="00554B3A">
            <w:pPr>
              <w:pStyle w:val="a7"/>
              <w:widowControl/>
              <w:numPr>
                <w:ilvl w:val="0"/>
                <w:numId w:val="22"/>
              </w:numPr>
              <w:adjustRightInd w:val="0"/>
              <w:snapToGrid w:val="0"/>
              <w:spacing w:line="360" w:lineRule="exact"/>
              <w:ind w:leftChars="0"/>
              <w:rPr>
                <w:rFonts w:ascii="標楷體" w:eastAsia="標楷體" w:hAnsi="標楷體" w:cs="Times New Roman"/>
                <w:kern w:val="0"/>
                <w:sz w:val="28"/>
                <w:szCs w:val="28"/>
              </w:rPr>
            </w:pPr>
            <w:r w:rsidRPr="00F44E8A">
              <w:rPr>
                <w:rFonts w:ascii="標楷體" w:eastAsia="標楷體" w:hAnsi="標楷體" w:cs="新細明體" w:hint="eastAsia"/>
                <w:kern w:val="0"/>
                <w:sz w:val="28"/>
                <w:szCs w:val="28"/>
              </w:rPr>
              <w:t>投資申請案件之審查，必要時得邀請專家學者進行審</w:t>
            </w:r>
            <w:r w:rsidRPr="00F44E8A">
              <w:rPr>
                <w:rFonts w:ascii="標楷體" w:eastAsia="標楷體" w:hAnsi="標楷體" w:cs="新細明體" w:hint="eastAsia"/>
                <w:kern w:val="0"/>
                <w:sz w:val="28"/>
                <w:szCs w:val="28"/>
              </w:rPr>
              <w:lastRenderedPageBreak/>
              <w:t>查。</w:t>
            </w:r>
          </w:p>
        </w:tc>
        <w:tc>
          <w:tcPr>
            <w:tcW w:w="4181" w:type="dxa"/>
          </w:tcPr>
          <w:p w:rsidR="009D310B" w:rsidRPr="00F44E8A" w:rsidRDefault="009D310B" w:rsidP="00554B3A">
            <w:pPr>
              <w:widowControl/>
              <w:adjustRightInd w:val="0"/>
              <w:snapToGrid w:val="0"/>
              <w:spacing w:line="360" w:lineRule="exact"/>
              <w:rPr>
                <w:rFonts w:ascii="標楷體" w:eastAsia="標楷體" w:hAnsi="標楷體" w:cs="Times New Roman"/>
                <w:bCs/>
                <w:kern w:val="0"/>
                <w:sz w:val="28"/>
                <w:szCs w:val="28"/>
              </w:rPr>
            </w:pPr>
            <w:r w:rsidRPr="00F44E8A">
              <w:rPr>
                <w:rFonts w:ascii="標楷體" w:eastAsia="標楷體" w:hAnsi="標楷體" w:cs="Times New Roman" w:hint="eastAsia"/>
                <w:bCs/>
                <w:kern w:val="0"/>
                <w:sz w:val="28"/>
                <w:szCs w:val="28"/>
              </w:rPr>
              <w:lastRenderedPageBreak/>
              <w:t>投資申請案件</w:t>
            </w:r>
            <w:r w:rsidRPr="00F44E8A">
              <w:rPr>
                <w:rFonts w:ascii="標楷體" w:eastAsia="標楷體" w:hAnsi="標楷體" w:cs="新細明體" w:hint="eastAsia"/>
                <w:kern w:val="0"/>
                <w:sz w:val="28"/>
                <w:szCs w:val="28"/>
              </w:rPr>
              <w:t>需就統籌規劃層面、技術層面、監理層面、法律</w:t>
            </w:r>
            <w:r w:rsidRPr="00F44E8A">
              <w:rPr>
                <w:rFonts w:ascii="標楷體" w:eastAsia="標楷體" w:hAnsi="標楷體" w:cs="新細明體" w:hint="eastAsia"/>
                <w:kern w:val="0"/>
                <w:sz w:val="28"/>
                <w:szCs w:val="28"/>
              </w:rPr>
              <w:lastRenderedPageBreak/>
              <w:t>層面及通訊營運層面進行審議，</w:t>
            </w:r>
            <w:proofErr w:type="gramStart"/>
            <w:r w:rsidRPr="00F44E8A">
              <w:rPr>
                <w:rFonts w:ascii="標楷體" w:eastAsia="標楷體" w:hAnsi="標楷體" w:cs="新細明體" w:hint="eastAsia"/>
                <w:kern w:val="0"/>
                <w:sz w:val="28"/>
                <w:szCs w:val="28"/>
              </w:rPr>
              <w:t>爰</w:t>
            </w:r>
            <w:proofErr w:type="gramEnd"/>
            <w:r w:rsidRPr="00F44E8A">
              <w:rPr>
                <w:rFonts w:ascii="標楷體" w:eastAsia="標楷體" w:hAnsi="標楷體" w:cs="新細明體" w:hint="eastAsia"/>
                <w:kern w:val="0"/>
                <w:sz w:val="28"/>
                <w:szCs w:val="28"/>
              </w:rPr>
              <w:t>組成專案小組，並視個案邀請專家學者諮詢意見。</w:t>
            </w:r>
          </w:p>
        </w:tc>
      </w:tr>
      <w:tr w:rsidR="009D310B" w:rsidRPr="00F44E8A" w:rsidTr="00554B3A">
        <w:trPr>
          <w:jc w:val="center"/>
        </w:trPr>
        <w:tc>
          <w:tcPr>
            <w:tcW w:w="4181" w:type="dxa"/>
          </w:tcPr>
          <w:p w:rsidR="009D310B" w:rsidRPr="00F44E8A" w:rsidRDefault="009D310B" w:rsidP="00554B3A">
            <w:pPr>
              <w:pStyle w:val="a7"/>
              <w:widowControl/>
              <w:numPr>
                <w:ilvl w:val="0"/>
                <w:numId w:val="22"/>
              </w:numPr>
              <w:adjustRightInd w:val="0"/>
              <w:snapToGrid w:val="0"/>
              <w:spacing w:line="360" w:lineRule="exact"/>
              <w:ind w:leftChars="0"/>
              <w:rPr>
                <w:rFonts w:ascii="標楷體" w:eastAsia="標楷體" w:hAnsi="標楷體" w:cs="新細明體"/>
                <w:kern w:val="0"/>
                <w:sz w:val="28"/>
                <w:szCs w:val="28"/>
              </w:rPr>
            </w:pPr>
            <w:r w:rsidRPr="00F44E8A">
              <w:rPr>
                <w:rFonts w:ascii="標楷體" w:eastAsia="標楷體" w:hAnsi="標楷體" w:cs="新細明體" w:hint="eastAsia"/>
                <w:kern w:val="0"/>
                <w:sz w:val="28"/>
                <w:szCs w:val="28"/>
              </w:rPr>
              <w:lastRenderedPageBreak/>
              <w:t>大陸地區人民來</w:t>
            </w:r>
            <w:proofErr w:type="gramStart"/>
            <w:r w:rsidRPr="00F44E8A">
              <w:rPr>
                <w:rFonts w:ascii="標楷體" w:eastAsia="標楷體" w:hAnsi="標楷體" w:cs="新細明體" w:hint="eastAsia"/>
                <w:kern w:val="0"/>
                <w:sz w:val="28"/>
                <w:szCs w:val="28"/>
              </w:rPr>
              <w:t>臺</w:t>
            </w:r>
            <w:proofErr w:type="gramEnd"/>
            <w:r w:rsidRPr="00F44E8A">
              <w:rPr>
                <w:rFonts w:ascii="標楷體" w:eastAsia="標楷體" w:hAnsi="標楷體" w:cs="新細明體" w:hint="eastAsia"/>
                <w:kern w:val="0"/>
                <w:sz w:val="28"/>
                <w:szCs w:val="28"/>
              </w:rPr>
              <w:t>投資第二類電信事業申請流程，經濟部投資審議委員會流程如附件一，本會處理流程如附件二。</w:t>
            </w:r>
          </w:p>
        </w:tc>
        <w:tc>
          <w:tcPr>
            <w:tcW w:w="4181" w:type="dxa"/>
          </w:tcPr>
          <w:p w:rsidR="009D310B" w:rsidRPr="00F44E8A" w:rsidRDefault="009D310B" w:rsidP="00554B3A">
            <w:pPr>
              <w:widowControl/>
              <w:adjustRightInd w:val="0"/>
              <w:snapToGrid w:val="0"/>
              <w:spacing w:line="360" w:lineRule="exact"/>
              <w:rPr>
                <w:rFonts w:ascii="標楷體" w:eastAsia="標楷體" w:hAnsi="標楷體"/>
                <w:sz w:val="28"/>
                <w:szCs w:val="28"/>
              </w:rPr>
            </w:pPr>
            <w:r w:rsidRPr="00F44E8A">
              <w:rPr>
                <w:rFonts w:ascii="標楷體" w:eastAsia="標楷體" w:hAnsi="標楷體" w:hint="eastAsia"/>
                <w:sz w:val="28"/>
                <w:szCs w:val="28"/>
              </w:rPr>
              <w:t>將流程圖示，以利公眾閱覽。</w:t>
            </w:r>
          </w:p>
        </w:tc>
      </w:tr>
    </w:tbl>
    <w:p w:rsidR="009D310B" w:rsidRPr="00F44E8A" w:rsidRDefault="009D310B" w:rsidP="007138ED">
      <w:pPr>
        <w:widowControl/>
        <w:spacing w:before="50" w:afterLines="50" w:line="480" w:lineRule="exact"/>
        <w:jc w:val="both"/>
        <w:rPr>
          <w:rFonts w:ascii="標楷體" w:eastAsia="標楷體" w:hAnsi="標楷體" w:cs="Times New Roman"/>
          <w:bCs/>
          <w:kern w:val="0"/>
          <w:sz w:val="28"/>
          <w:szCs w:val="28"/>
        </w:rPr>
      </w:pPr>
    </w:p>
    <w:sectPr w:rsidR="009D310B" w:rsidRPr="00F44E8A" w:rsidSect="00C57F28">
      <w:footerReference w:type="default" r:id="rId8"/>
      <w:pgSz w:w="11906" w:h="16838"/>
      <w:pgMar w:top="1440" w:right="849" w:bottom="1440" w:left="851" w:header="851" w:footer="992" w:gutter="0"/>
      <w:pgNumType w:start="3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E5" w:rsidRDefault="00285DE5">
      <w:pPr>
        <w:rPr>
          <w:rFonts w:ascii="Times New Roman" w:hAnsi="Times New Roman" w:cs="Times New Roman"/>
        </w:rPr>
      </w:pPr>
      <w:r>
        <w:rPr>
          <w:rFonts w:ascii="Times New Roman" w:hAnsi="Times New Roman" w:cs="Times New Roman"/>
        </w:rPr>
        <w:separator/>
      </w:r>
    </w:p>
  </w:endnote>
  <w:endnote w:type="continuationSeparator" w:id="0">
    <w:p w:rsidR="00285DE5" w:rsidRDefault="00285DE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 HeiB5 Medium">
    <w:altName w:val="AR HeiB5 Medium"/>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875"/>
      <w:docPartObj>
        <w:docPartGallery w:val="Page Numbers (Bottom of Page)"/>
        <w:docPartUnique/>
      </w:docPartObj>
    </w:sdtPr>
    <w:sdtContent>
      <w:p w:rsidR="0094301A" w:rsidRDefault="007138ED">
        <w:pPr>
          <w:pStyle w:val="a5"/>
          <w:jc w:val="center"/>
        </w:pPr>
        <w:fldSimple w:instr=" PAGE   \* MERGEFORMAT ">
          <w:r w:rsidR="00824E5D" w:rsidRPr="00824E5D">
            <w:rPr>
              <w:noProof/>
              <w:lang w:val="zh-TW"/>
            </w:rPr>
            <w:t>32</w:t>
          </w:r>
        </w:fldSimple>
      </w:p>
    </w:sdtContent>
  </w:sdt>
  <w:p w:rsidR="0094301A" w:rsidRDefault="009430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E5" w:rsidRDefault="00285DE5">
      <w:pPr>
        <w:rPr>
          <w:rFonts w:ascii="Times New Roman" w:hAnsi="Times New Roman" w:cs="Times New Roman"/>
        </w:rPr>
      </w:pPr>
      <w:r>
        <w:rPr>
          <w:rFonts w:ascii="Times New Roman" w:hAnsi="Times New Roman" w:cs="Times New Roman"/>
        </w:rPr>
        <w:separator/>
      </w:r>
    </w:p>
  </w:footnote>
  <w:footnote w:type="continuationSeparator" w:id="0">
    <w:p w:rsidR="00285DE5" w:rsidRDefault="00285DE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86B"/>
    <w:multiLevelType w:val="hybridMultilevel"/>
    <w:tmpl w:val="A4945A34"/>
    <w:lvl w:ilvl="0" w:tplc="8B3E65BA">
      <w:start w:val="1"/>
      <w:numFmt w:val="decimal"/>
      <w:lvlText w:val="%1、"/>
      <w:lvlJc w:val="left"/>
      <w:pPr>
        <w:tabs>
          <w:tab w:val="num" w:pos="1211"/>
        </w:tabs>
        <w:ind w:left="1211"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A38DD"/>
    <w:multiLevelType w:val="hybridMultilevel"/>
    <w:tmpl w:val="4D04F53A"/>
    <w:lvl w:ilvl="0" w:tplc="F850D872">
      <w:start w:val="1"/>
      <w:numFmt w:val="taiwaneseCountingThousand"/>
      <w:lvlText w:val="%1、"/>
      <w:lvlJc w:val="left"/>
      <w:pPr>
        <w:ind w:left="1042" w:hanging="480"/>
      </w:pPr>
      <w:rPr>
        <w:rFonts w:cs="Times New Roman" w:hint="eastAsia"/>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2">
    <w:nsid w:val="0A5A43EF"/>
    <w:multiLevelType w:val="hybridMultilevel"/>
    <w:tmpl w:val="9AD6812E"/>
    <w:lvl w:ilvl="0" w:tplc="04090015">
      <w:start w:val="1"/>
      <w:numFmt w:val="taiwaneseCountingThousand"/>
      <w:lvlText w:val="%1、"/>
      <w:lvlJc w:val="left"/>
      <w:pPr>
        <w:ind w:left="480" w:hanging="480"/>
      </w:pPr>
      <w:rPr>
        <w:rFonts w:cs="Times New Roman"/>
      </w:rPr>
    </w:lvl>
    <w:lvl w:ilvl="1" w:tplc="56C6661A">
      <w:numFmt w:val="decimal"/>
      <w:lvlText w:val="%2"/>
      <w:lvlJc w:val="left"/>
      <w:pPr>
        <w:ind w:left="840" w:hanging="360"/>
      </w:pPr>
      <w:rPr>
        <w:rFonts w:cs="新細明體"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FB132AF"/>
    <w:multiLevelType w:val="hybridMultilevel"/>
    <w:tmpl w:val="37B815F2"/>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83E2D7A"/>
    <w:multiLevelType w:val="multilevel"/>
    <w:tmpl w:val="09AC5F86"/>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strike w:val="0"/>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
    <w:nsid w:val="1CC85A61"/>
    <w:multiLevelType w:val="hybridMultilevel"/>
    <w:tmpl w:val="8140E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1E0651"/>
    <w:multiLevelType w:val="hybridMultilevel"/>
    <w:tmpl w:val="17AC7728"/>
    <w:lvl w:ilvl="0" w:tplc="F850D8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4AC1FE2"/>
    <w:multiLevelType w:val="hybridMultilevel"/>
    <w:tmpl w:val="CCF6B15C"/>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8">
    <w:nsid w:val="26887A97"/>
    <w:multiLevelType w:val="multilevel"/>
    <w:tmpl w:val="D3AE5E08"/>
    <w:lvl w:ilvl="0">
      <w:start w:val="1"/>
      <w:numFmt w:val="taiwaneseCountingThousand"/>
      <w:suff w:val="nothing"/>
      <w:lvlText w:val="(%1)"/>
      <w:lvlJc w:val="left"/>
      <w:pPr>
        <w:ind w:left="1330" w:hanging="425"/>
      </w:pPr>
      <w:rPr>
        <w:rFonts w:ascii="Times New Roman" w:hAnsi="Times New Roman" w:cs="Times New Roman" w:hint="eastAsia"/>
      </w:rPr>
    </w:lvl>
    <w:lvl w:ilvl="1">
      <w:start w:val="1"/>
      <w:numFmt w:val="decimal"/>
      <w:suff w:val="nothing"/>
      <w:lvlText w:val="%2."/>
      <w:lvlJc w:val="left"/>
      <w:pPr>
        <w:ind w:left="1897" w:hanging="567"/>
      </w:pPr>
      <w:rPr>
        <w:rFonts w:ascii="Times New Roman" w:hAnsi="Times New Roman" w:cs="Times New Roman" w:hint="eastAsia"/>
      </w:rPr>
    </w:lvl>
    <w:lvl w:ilvl="2">
      <w:start w:val="1"/>
      <w:numFmt w:val="decimal"/>
      <w:suff w:val="nothing"/>
      <w:lvlText w:val="(%3)"/>
      <w:lvlJc w:val="left"/>
      <w:pPr>
        <w:ind w:left="2323" w:hanging="567"/>
      </w:pPr>
      <w:rPr>
        <w:rFonts w:ascii="Times New Roman" w:hAnsi="Times New Roman" w:cs="Times New Roman" w:hint="eastAsia"/>
      </w:rPr>
    </w:lvl>
    <w:lvl w:ilvl="3">
      <w:start w:val="1"/>
      <w:numFmt w:val="decimal"/>
      <w:suff w:val="nothing"/>
      <w:lvlText w:val="%4)"/>
      <w:lvlJc w:val="left"/>
      <w:pPr>
        <w:ind w:left="2889" w:hanging="708"/>
      </w:pPr>
      <w:rPr>
        <w:rFonts w:ascii="Times New Roman" w:hAnsi="Times New Roman" w:cs="Times New Roman" w:hint="eastAsia"/>
      </w:rPr>
    </w:lvl>
    <w:lvl w:ilvl="4">
      <w:start w:val="1"/>
      <w:numFmt w:val="upperLetter"/>
      <w:lvlText w:val="%5."/>
      <w:lvlJc w:val="left"/>
      <w:pPr>
        <w:tabs>
          <w:tab w:val="num" w:pos="3456"/>
        </w:tabs>
        <w:ind w:left="3456" w:hanging="850"/>
      </w:pPr>
      <w:rPr>
        <w:rFonts w:ascii="Times New Roman" w:hAnsi="Times New Roman" w:cs="Times New Roman" w:hint="eastAsia"/>
      </w:rPr>
    </w:lvl>
    <w:lvl w:ilvl="5">
      <w:start w:val="1"/>
      <w:numFmt w:val="upperLetter"/>
      <w:lvlText w:val="(%6)"/>
      <w:lvlJc w:val="left"/>
      <w:pPr>
        <w:tabs>
          <w:tab w:val="num" w:pos="4165"/>
        </w:tabs>
        <w:ind w:left="4165" w:hanging="1134"/>
      </w:pPr>
      <w:rPr>
        <w:rFonts w:ascii="Times New Roman" w:hAnsi="Times New Roman" w:cs="Times New Roman" w:hint="eastAsia"/>
      </w:rPr>
    </w:lvl>
    <w:lvl w:ilvl="6">
      <w:start w:val="1"/>
      <w:numFmt w:val="upperLetter"/>
      <w:lvlText w:val="%7)"/>
      <w:lvlJc w:val="left"/>
      <w:pPr>
        <w:tabs>
          <w:tab w:val="num" w:pos="4732"/>
        </w:tabs>
        <w:ind w:left="4732" w:hanging="1276"/>
      </w:pPr>
      <w:rPr>
        <w:rFonts w:ascii="Times New Roman" w:hAnsi="Times New Roman" w:cs="Times New Roman" w:hint="eastAsia"/>
      </w:rPr>
    </w:lvl>
    <w:lvl w:ilvl="7">
      <w:start w:val="1"/>
      <w:numFmt w:val="lowerLetter"/>
      <w:lvlText w:val="%8."/>
      <w:lvlJc w:val="left"/>
      <w:pPr>
        <w:tabs>
          <w:tab w:val="num" w:pos="5299"/>
        </w:tabs>
        <w:ind w:left="5299" w:hanging="1418"/>
      </w:pPr>
      <w:rPr>
        <w:rFonts w:ascii="Times New Roman" w:hAnsi="Times New Roman" w:cs="Times New Roman" w:hint="eastAsia"/>
      </w:rPr>
    </w:lvl>
    <w:lvl w:ilvl="8">
      <w:start w:val="1"/>
      <w:numFmt w:val="lowerLetter"/>
      <w:lvlText w:val="%9)"/>
      <w:lvlJc w:val="left"/>
      <w:pPr>
        <w:tabs>
          <w:tab w:val="num" w:pos="6007"/>
        </w:tabs>
        <w:ind w:left="6007" w:hanging="1700"/>
      </w:pPr>
      <w:rPr>
        <w:rFonts w:ascii="Times New Roman" w:hAnsi="Times New Roman" w:cs="Times New Roman" w:hint="eastAsia"/>
      </w:rPr>
    </w:lvl>
  </w:abstractNum>
  <w:abstractNum w:abstractNumId="9">
    <w:nsid w:val="272D35BB"/>
    <w:multiLevelType w:val="hybridMultilevel"/>
    <w:tmpl w:val="0756AE20"/>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2BC26C2D"/>
    <w:multiLevelType w:val="multilevel"/>
    <w:tmpl w:val="D3AE5E08"/>
    <w:lvl w:ilvl="0">
      <w:start w:val="1"/>
      <w:numFmt w:val="taiwaneseCountingThousand"/>
      <w:suff w:val="nothing"/>
      <w:lvlText w:val="(%1)"/>
      <w:lvlJc w:val="left"/>
      <w:pPr>
        <w:ind w:left="425" w:hanging="425"/>
      </w:pPr>
      <w:rPr>
        <w:rFonts w:ascii="Times New Roman" w:hAnsi="Times New Roman" w:cs="Times New Roman" w:hint="eastAsia"/>
      </w:rPr>
    </w:lvl>
    <w:lvl w:ilvl="1">
      <w:start w:val="1"/>
      <w:numFmt w:val="decimal"/>
      <w:suff w:val="nothing"/>
      <w:lvlText w:val="%2."/>
      <w:lvlJc w:val="left"/>
      <w:pPr>
        <w:ind w:left="992" w:hanging="567"/>
      </w:pPr>
      <w:rPr>
        <w:rFonts w:ascii="Times New Roman" w:hAnsi="Times New Roman" w:cs="Times New Roman" w:hint="eastAsia"/>
      </w:rPr>
    </w:lvl>
    <w:lvl w:ilvl="2">
      <w:start w:val="1"/>
      <w:numFmt w:val="decimal"/>
      <w:suff w:val="nothing"/>
      <w:lvlText w:val="(%3)"/>
      <w:lvlJc w:val="left"/>
      <w:pPr>
        <w:ind w:left="1418" w:hanging="567"/>
      </w:pPr>
      <w:rPr>
        <w:rFonts w:ascii="Times New Roman" w:hAnsi="Times New Roman" w:cs="Times New Roman" w:hint="eastAsia"/>
      </w:rPr>
    </w:lvl>
    <w:lvl w:ilvl="3">
      <w:start w:val="1"/>
      <w:numFmt w:val="decimal"/>
      <w:suff w:val="nothing"/>
      <w:lvlText w:val="%4)"/>
      <w:lvlJc w:val="left"/>
      <w:pPr>
        <w:ind w:left="1984" w:hanging="708"/>
      </w:pPr>
      <w:rPr>
        <w:rFonts w:ascii="Times New Roman" w:hAnsi="Times New Roman" w:cs="Times New Roman" w:hint="eastAsia"/>
      </w:rPr>
    </w:lvl>
    <w:lvl w:ilvl="4">
      <w:start w:val="1"/>
      <w:numFmt w:val="upperLetter"/>
      <w:lvlText w:val="%5."/>
      <w:lvlJc w:val="left"/>
      <w:pPr>
        <w:tabs>
          <w:tab w:val="num" w:pos="2551"/>
        </w:tabs>
        <w:ind w:left="2551" w:hanging="850"/>
      </w:pPr>
      <w:rPr>
        <w:rFonts w:ascii="Times New Roman" w:hAnsi="Times New Roman" w:cs="Times New Roman" w:hint="eastAsia"/>
      </w:rPr>
    </w:lvl>
    <w:lvl w:ilvl="5">
      <w:start w:val="1"/>
      <w:numFmt w:val="upperLetter"/>
      <w:lvlText w:val="(%6)"/>
      <w:lvlJc w:val="left"/>
      <w:pPr>
        <w:tabs>
          <w:tab w:val="num" w:pos="3260"/>
        </w:tabs>
        <w:ind w:left="3260" w:hanging="1134"/>
      </w:pPr>
      <w:rPr>
        <w:rFonts w:ascii="Times New Roman" w:hAnsi="Times New Roman" w:cs="Times New Roman" w:hint="eastAsia"/>
      </w:rPr>
    </w:lvl>
    <w:lvl w:ilvl="6">
      <w:start w:val="1"/>
      <w:numFmt w:val="upperLetter"/>
      <w:lvlText w:val="%7)"/>
      <w:lvlJc w:val="left"/>
      <w:pPr>
        <w:tabs>
          <w:tab w:val="num" w:pos="3827"/>
        </w:tabs>
        <w:ind w:left="3827" w:hanging="1276"/>
      </w:pPr>
      <w:rPr>
        <w:rFonts w:ascii="Times New Roman" w:hAnsi="Times New Roman" w:cs="Times New Roman" w:hint="eastAsia"/>
      </w:rPr>
    </w:lvl>
    <w:lvl w:ilvl="7">
      <w:start w:val="1"/>
      <w:numFmt w:val="lowerLetter"/>
      <w:lvlText w:val="%8."/>
      <w:lvlJc w:val="left"/>
      <w:pPr>
        <w:tabs>
          <w:tab w:val="num" w:pos="4394"/>
        </w:tabs>
        <w:ind w:left="4394" w:hanging="1418"/>
      </w:pPr>
      <w:rPr>
        <w:rFonts w:ascii="Times New Roman" w:hAnsi="Times New Roman" w:cs="Times New Roman" w:hint="eastAsia"/>
      </w:rPr>
    </w:lvl>
    <w:lvl w:ilvl="8">
      <w:start w:val="1"/>
      <w:numFmt w:val="lowerLetter"/>
      <w:lvlText w:val="%9)"/>
      <w:lvlJc w:val="left"/>
      <w:pPr>
        <w:tabs>
          <w:tab w:val="num" w:pos="5102"/>
        </w:tabs>
        <w:ind w:left="5102" w:hanging="1700"/>
      </w:pPr>
      <w:rPr>
        <w:rFonts w:ascii="Times New Roman" w:hAnsi="Times New Roman" w:cs="Times New Roman" w:hint="eastAsia"/>
      </w:rPr>
    </w:lvl>
  </w:abstractNum>
  <w:abstractNum w:abstractNumId="11">
    <w:nsid w:val="2FE51B0D"/>
    <w:multiLevelType w:val="multilevel"/>
    <w:tmpl w:val="D5C20B9C"/>
    <w:lvl w:ilvl="0">
      <w:start w:val="1"/>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2."/>
      <w:lvlJc w:val="left"/>
      <w:pPr>
        <w:tabs>
          <w:tab w:val="num" w:pos="1418"/>
        </w:tabs>
        <w:ind w:left="1418" w:hanging="567"/>
      </w:pPr>
      <w:rPr>
        <w:rFonts w:ascii="Times New Roman" w:hAnsi="Times New Roman"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12">
    <w:nsid w:val="34EF6F81"/>
    <w:multiLevelType w:val="hybridMultilevel"/>
    <w:tmpl w:val="E0D4BF5A"/>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nsid w:val="364774C0"/>
    <w:multiLevelType w:val="multilevel"/>
    <w:tmpl w:val="B4022F70"/>
    <w:lvl w:ilvl="0">
      <w:start w:val="1"/>
      <w:numFmt w:val="taiwaneseCountingThousand"/>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ascii="Times New Roman" w:hAnsi="Times New Roman" w:cs="Times New Roman"/>
      </w:rPr>
    </w:lvl>
    <w:lvl w:ilvl="2">
      <w:start w:val="1"/>
      <w:numFmt w:val="lowerRoman"/>
      <w:lvlText w:val="%3."/>
      <w:lvlJc w:val="right"/>
      <w:pPr>
        <w:ind w:left="1440" w:hanging="480"/>
      </w:pPr>
      <w:rPr>
        <w:rFonts w:ascii="Times New Roman" w:hAnsi="Times New Roman" w:cs="Times New Roman"/>
      </w:rPr>
    </w:lvl>
    <w:lvl w:ilvl="3">
      <w:start w:val="1"/>
      <w:numFmt w:val="decimal"/>
      <w:lvlText w:val="%4."/>
      <w:lvlJc w:val="left"/>
      <w:pPr>
        <w:ind w:left="1920" w:hanging="480"/>
      </w:pPr>
      <w:rPr>
        <w:rFonts w:ascii="Times New Roman" w:hAnsi="Times New Roman" w:cs="Times New Roman"/>
      </w:rPr>
    </w:lvl>
    <w:lvl w:ilvl="4">
      <w:start w:val="1"/>
      <w:numFmt w:val="ideographTraditional"/>
      <w:lvlText w:val="%5、"/>
      <w:lvlJc w:val="left"/>
      <w:pPr>
        <w:ind w:left="2400" w:hanging="480"/>
      </w:pPr>
      <w:rPr>
        <w:rFonts w:ascii="Times New Roman" w:hAnsi="Times New Roman" w:cs="Times New Roman"/>
      </w:rPr>
    </w:lvl>
    <w:lvl w:ilvl="5">
      <w:start w:val="1"/>
      <w:numFmt w:val="lowerRoman"/>
      <w:lvlText w:val="%6."/>
      <w:lvlJc w:val="right"/>
      <w:pPr>
        <w:ind w:left="2880" w:hanging="480"/>
      </w:pPr>
      <w:rPr>
        <w:rFonts w:ascii="Times New Roman" w:hAnsi="Times New Roman" w:cs="Times New Roman"/>
      </w:rPr>
    </w:lvl>
    <w:lvl w:ilvl="6">
      <w:start w:val="1"/>
      <w:numFmt w:val="decimal"/>
      <w:lvlText w:val="%7."/>
      <w:lvlJc w:val="left"/>
      <w:pPr>
        <w:ind w:left="3360" w:hanging="480"/>
      </w:pPr>
      <w:rPr>
        <w:rFonts w:ascii="Times New Roman" w:hAnsi="Times New Roman" w:cs="Times New Roman"/>
      </w:rPr>
    </w:lvl>
    <w:lvl w:ilvl="7">
      <w:start w:val="1"/>
      <w:numFmt w:val="ideographTraditional"/>
      <w:lvlText w:val="%8、"/>
      <w:lvlJc w:val="left"/>
      <w:pPr>
        <w:ind w:left="3840" w:hanging="480"/>
      </w:pPr>
      <w:rPr>
        <w:rFonts w:ascii="Times New Roman" w:hAnsi="Times New Roman" w:cs="Times New Roman"/>
      </w:rPr>
    </w:lvl>
    <w:lvl w:ilvl="8">
      <w:start w:val="1"/>
      <w:numFmt w:val="lowerRoman"/>
      <w:lvlText w:val="%9."/>
      <w:lvlJc w:val="right"/>
      <w:pPr>
        <w:ind w:left="4320" w:hanging="480"/>
      </w:pPr>
      <w:rPr>
        <w:rFonts w:ascii="Times New Roman" w:hAnsi="Times New Roman" w:cs="Times New Roman"/>
      </w:rPr>
    </w:lvl>
  </w:abstractNum>
  <w:abstractNum w:abstractNumId="14">
    <w:nsid w:val="5C2F4466"/>
    <w:multiLevelType w:val="multilevel"/>
    <w:tmpl w:val="E7B22CFA"/>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15">
    <w:nsid w:val="5C3352FC"/>
    <w:multiLevelType w:val="hybridMultilevel"/>
    <w:tmpl w:val="EAB8206E"/>
    <w:lvl w:ilvl="0" w:tplc="F850D872">
      <w:start w:val="1"/>
      <w:numFmt w:val="taiwaneseCountingThousand"/>
      <w:lvlText w:val="%1、"/>
      <w:lvlJc w:val="left"/>
      <w:pPr>
        <w:ind w:left="1577" w:hanging="480"/>
      </w:pPr>
      <w:rPr>
        <w:rFonts w:cs="Times New Roman" w:hint="eastAsia"/>
      </w:rPr>
    </w:lvl>
    <w:lvl w:ilvl="1" w:tplc="04090019">
      <w:start w:val="1"/>
      <w:numFmt w:val="ideographTraditional"/>
      <w:lvlText w:val="%2、"/>
      <w:lvlJc w:val="left"/>
      <w:pPr>
        <w:ind w:left="2057" w:hanging="480"/>
      </w:pPr>
      <w:rPr>
        <w:rFonts w:cs="Times New Roman"/>
      </w:rPr>
    </w:lvl>
    <w:lvl w:ilvl="2" w:tplc="0409001B" w:tentative="1">
      <w:start w:val="1"/>
      <w:numFmt w:val="lowerRoman"/>
      <w:lvlText w:val="%3."/>
      <w:lvlJc w:val="right"/>
      <w:pPr>
        <w:ind w:left="2537" w:hanging="480"/>
      </w:pPr>
      <w:rPr>
        <w:rFonts w:cs="Times New Roman"/>
      </w:rPr>
    </w:lvl>
    <w:lvl w:ilvl="3" w:tplc="0409000F" w:tentative="1">
      <w:start w:val="1"/>
      <w:numFmt w:val="decimal"/>
      <w:lvlText w:val="%4."/>
      <w:lvlJc w:val="left"/>
      <w:pPr>
        <w:ind w:left="3017" w:hanging="480"/>
      </w:pPr>
      <w:rPr>
        <w:rFonts w:cs="Times New Roman"/>
      </w:rPr>
    </w:lvl>
    <w:lvl w:ilvl="4" w:tplc="04090019" w:tentative="1">
      <w:start w:val="1"/>
      <w:numFmt w:val="ideographTraditional"/>
      <w:lvlText w:val="%5、"/>
      <w:lvlJc w:val="left"/>
      <w:pPr>
        <w:ind w:left="3497" w:hanging="480"/>
      </w:pPr>
      <w:rPr>
        <w:rFonts w:cs="Times New Roman"/>
      </w:rPr>
    </w:lvl>
    <w:lvl w:ilvl="5" w:tplc="0409001B" w:tentative="1">
      <w:start w:val="1"/>
      <w:numFmt w:val="lowerRoman"/>
      <w:lvlText w:val="%6."/>
      <w:lvlJc w:val="right"/>
      <w:pPr>
        <w:ind w:left="3977" w:hanging="480"/>
      </w:pPr>
      <w:rPr>
        <w:rFonts w:cs="Times New Roman"/>
      </w:rPr>
    </w:lvl>
    <w:lvl w:ilvl="6" w:tplc="0409000F" w:tentative="1">
      <w:start w:val="1"/>
      <w:numFmt w:val="decimal"/>
      <w:lvlText w:val="%7."/>
      <w:lvlJc w:val="left"/>
      <w:pPr>
        <w:ind w:left="4457" w:hanging="480"/>
      </w:pPr>
      <w:rPr>
        <w:rFonts w:cs="Times New Roman"/>
      </w:rPr>
    </w:lvl>
    <w:lvl w:ilvl="7" w:tplc="04090019" w:tentative="1">
      <w:start w:val="1"/>
      <w:numFmt w:val="ideographTraditional"/>
      <w:lvlText w:val="%8、"/>
      <w:lvlJc w:val="left"/>
      <w:pPr>
        <w:ind w:left="4937" w:hanging="480"/>
      </w:pPr>
      <w:rPr>
        <w:rFonts w:cs="Times New Roman"/>
      </w:rPr>
    </w:lvl>
    <w:lvl w:ilvl="8" w:tplc="0409001B" w:tentative="1">
      <w:start w:val="1"/>
      <w:numFmt w:val="lowerRoman"/>
      <w:lvlText w:val="%9."/>
      <w:lvlJc w:val="right"/>
      <w:pPr>
        <w:ind w:left="5417" w:hanging="480"/>
      </w:pPr>
      <w:rPr>
        <w:rFonts w:cs="Times New Roman"/>
      </w:rPr>
    </w:lvl>
  </w:abstractNum>
  <w:abstractNum w:abstractNumId="16">
    <w:nsid w:val="633E11AD"/>
    <w:multiLevelType w:val="multilevel"/>
    <w:tmpl w:val="E7B22CFA"/>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17">
    <w:nsid w:val="648046B2"/>
    <w:multiLevelType w:val="multilevel"/>
    <w:tmpl w:val="01E03A8A"/>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18">
    <w:nsid w:val="694E1A59"/>
    <w:multiLevelType w:val="multilevel"/>
    <w:tmpl w:val="C69E0DAC"/>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19">
    <w:nsid w:val="73777987"/>
    <w:multiLevelType w:val="hybridMultilevel"/>
    <w:tmpl w:val="FC46B56C"/>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0">
    <w:nsid w:val="73AD172D"/>
    <w:multiLevelType w:val="hybridMultilevel"/>
    <w:tmpl w:val="863E66F0"/>
    <w:lvl w:ilvl="0" w:tplc="11F65AEE">
      <w:start w:val="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6240650"/>
    <w:multiLevelType w:val="multilevel"/>
    <w:tmpl w:val="2A987610"/>
    <w:lvl w:ilvl="0">
      <w:start w:val="2"/>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cs="Times New Roman" w:hint="eastAsia"/>
      </w:rPr>
    </w:lvl>
    <w:lvl w:ilvl="2">
      <w:start w:val="1"/>
      <w:numFmt w:val="decimal"/>
      <w:lvlText w:val="%3."/>
      <w:lvlJc w:val="left"/>
      <w:pPr>
        <w:tabs>
          <w:tab w:val="num" w:pos="480"/>
        </w:tabs>
        <w:ind w:left="480" w:hanging="480"/>
      </w:pPr>
      <w:rPr>
        <w:rFonts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22">
    <w:nsid w:val="7EDA3619"/>
    <w:multiLevelType w:val="multilevel"/>
    <w:tmpl w:val="D5C20B9C"/>
    <w:lvl w:ilvl="0">
      <w:start w:val="1"/>
      <w:numFmt w:val="taiwaneseCountingThousand"/>
      <w:lvlText w:val="%1、"/>
      <w:lvlJc w:val="left"/>
      <w:pPr>
        <w:tabs>
          <w:tab w:val="num" w:pos="624"/>
        </w:tabs>
        <w:ind w:left="624" w:hanging="624"/>
      </w:pPr>
      <w:rPr>
        <w:rFonts w:ascii="Times New Roman" w:hAnsi="Times New Roman" w:cs="Times New Roman" w:hint="eastAsia"/>
      </w:rPr>
    </w:lvl>
    <w:lvl w:ilvl="1">
      <w:start w:val="1"/>
      <w:numFmt w:val="taiwaneseCountingThousand"/>
      <w:lvlText w:val="(%2)"/>
      <w:lvlJc w:val="left"/>
      <w:pPr>
        <w:tabs>
          <w:tab w:val="num" w:pos="992"/>
        </w:tabs>
        <w:ind w:left="992" w:hanging="567"/>
      </w:pPr>
      <w:rPr>
        <w:rFonts w:ascii="Times New Roman" w:hAnsi="Times New Roman" w:cs="Times New Roman" w:hint="eastAsia"/>
      </w:rPr>
    </w:lvl>
    <w:lvl w:ilvl="2">
      <w:start w:val="1"/>
      <w:numFmt w:val="decimal"/>
      <w:lvlText w:val="%2."/>
      <w:lvlJc w:val="left"/>
      <w:pPr>
        <w:tabs>
          <w:tab w:val="num" w:pos="1418"/>
        </w:tabs>
        <w:ind w:left="1418" w:hanging="567"/>
      </w:pPr>
      <w:rPr>
        <w:rFonts w:ascii="Times New Roman" w:hAnsi="Times New Roman" w:cs="Times New Roman" w:hint="eastAsia"/>
      </w:rPr>
    </w:lvl>
    <w:lvl w:ilvl="3">
      <w:start w:val="1"/>
      <w:numFmt w:val="decimal"/>
      <w:lvlText w:val="%1.%2.%3.%4"/>
      <w:lvlJc w:val="left"/>
      <w:pPr>
        <w:tabs>
          <w:tab w:val="num" w:pos="1984"/>
        </w:tabs>
        <w:ind w:left="1984" w:hanging="708"/>
      </w:pPr>
      <w:rPr>
        <w:rFonts w:ascii="Times New Roman" w:hAnsi="Times New Roman" w:cs="Times New Roman" w:hint="eastAsia"/>
      </w:rPr>
    </w:lvl>
    <w:lvl w:ilvl="4">
      <w:start w:val="1"/>
      <w:numFmt w:val="decimal"/>
      <w:lvlText w:val="%1.%2.%3.%4.%5"/>
      <w:lvlJc w:val="left"/>
      <w:pPr>
        <w:tabs>
          <w:tab w:val="num" w:pos="2781"/>
        </w:tabs>
        <w:ind w:left="2551" w:hanging="850"/>
      </w:pPr>
      <w:rPr>
        <w:rFonts w:ascii="Times New Roman" w:hAnsi="Times New Roman" w:cs="Times New Roman" w:hint="eastAsia"/>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23">
    <w:nsid w:val="7F1642FA"/>
    <w:multiLevelType w:val="hybridMultilevel"/>
    <w:tmpl w:val="DE1A2CE8"/>
    <w:lvl w:ilvl="0" w:tplc="537C34CC">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ideographTraditional"/>
      <w:lvlText w:val="%2、"/>
      <w:lvlJc w:val="left"/>
      <w:pPr>
        <w:tabs>
          <w:tab w:val="num" w:pos="1811"/>
        </w:tabs>
        <w:ind w:left="1811" w:hanging="480"/>
      </w:pPr>
      <w:rPr>
        <w:rFonts w:ascii="Times New Roman" w:hAnsi="Times New Roman" w:cs="Times New Roman"/>
      </w:rPr>
    </w:lvl>
    <w:lvl w:ilvl="2" w:tplc="0409001B">
      <w:start w:val="1"/>
      <w:numFmt w:val="lowerRoman"/>
      <w:lvlText w:val="%3."/>
      <w:lvlJc w:val="right"/>
      <w:pPr>
        <w:tabs>
          <w:tab w:val="num" w:pos="2291"/>
        </w:tabs>
        <w:ind w:left="2291" w:hanging="480"/>
      </w:pPr>
      <w:rPr>
        <w:rFonts w:ascii="Times New Roman" w:hAnsi="Times New Roman" w:cs="Times New Roman"/>
      </w:rPr>
    </w:lvl>
    <w:lvl w:ilvl="3" w:tplc="0409000F">
      <w:start w:val="1"/>
      <w:numFmt w:val="decimal"/>
      <w:lvlText w:val="%4."/>
      <w:lvlJc w:val="left"/>
      <w:pPr>
        <w:tabs>
          <w:tab w:val="num" w:pos="2771"/>
        </w:tabs>
        <w:ind w:left="2771" w:hanging="480"/>
      </w:pPr>
      <w:rPr>
        <w:rFonts w:ascii="Times New Roman" w:hAnsi="Times New Roman" w:cs="Times New Roman"/>
      </w:rPr>
    </w:lvl>
    <w:lvl w:ilvl="4" w:tplc="04090019">
      <w:start w:val="1"/>
      <w:numFmt w:val="ideographTraditional"/>
      <w:lvlText w:val="%5、"/>
      <w:lvlJc w:val="left"/>
      <w:pPr>
        <w:tabs>
          <w:tab w:val="num" w:pos="3251"/>
        </w:tabs>
        <w:ind w:left="3251" w:hanging="480"/>
      </w:pPr>
      <w:rPr>
        <w:rFonts w:ascii="Times New Roman" w:hAnsi="Times New Roman" w:cs="Times New Roman"/>
      </w:rPr>
    </w:lvl>
    <w:lvl w:ilvl="5" w:tplc="0409001B">
      <w:start w:val="1"/>
      <w:numFmt w:val="lowerRoman"/>
      <w:lvlText w:val="%6."/>
      <w:lvlJc w:val="right"/>
      <w:pPr>
        <w:tabs>
          <w:tab w:val="num" w:pos="3731"/>
        </w:tabs>
        <w:ind w:left="3731" w:hanging="480"/>
      </w:pPr>
      <w:rPr>
        <w:rFonts w:ascii="Times New Roman" w:hAnsi="Times New Roman" w:cs="Times New Roman"/>
      </w:rPr>
    </w:lvl>
    <w:lvl w:ilvl="6" w:tplc="0409000F">
      <w:start w:val="1"/>
      <w:numFmt w:val="decimal"/>
      <w:lvlText w:val="%7."/>
      <w:lvlJc w:val="left"/>
      <w:pPr>
        <w:tabs>
          <w:tab w:val="num" w:pos="4211"/>
        </w:tabs>
        <w:ind w:left="4211" w:hanging="480"/>
      </w:pPr>
      <w:rPr>
        <w:rFonts w:ascii="Times New Roman" w:hAnsi="Times New Roman" w:cs="Times New Roman"/>
      </w:rPr>
    </w:lvl>
    <w:lvl w:ilvl="7" w:tplc="04090019">
      <w:start w:val="1"/>
      <w:numFmt w:val="ideographTraditional"/>
      <w:lvlText w:val="%8、"/>
      <w:lvlJc w:val="left"/>
      <w:pPr>
        <w:tabs>
          <w:tab w:val="num" w:pos="4691"/>
        </w:tabs>
        <w:ind w:left="4691" w:hanging="480"/>
      </w:pPr>
      <w:rPr>
        <w:rFonts w:ascii="Times New Roman" w:hAnsi="Times New Roman" w:cs="Times New Roman"/>
      </w:rPr>
    </w:lvl>
    <w:lvl w:ilvl="8" w:tplc="0409001B">
      <w:start w:val="1"/>
      <w:numFmt w:val="lowerRoman"/>
      <w:lvlText w:val="%9."/>
      <w:lvlJc w:val="right"/>
      <w:pPr>
        <w:tabs>
          <w:tab w:val="num" w:pos="5171"/>
        </w:tabs>
        <w:ind w:left="5171" w:hanging="480"/>
      </w:pPr>
      <w:rPr>
        <w:rFonts w:ascii="Times New Roman" w:hAnsi="Times New Roman" w:cs="Times New Roman"/>
      </w:rPr>
    </w:lvl>
  </w:abstractNum>
  <w:num w:numId="1">
    <w:abstractNumId w:val="17"/>
  </w:num>
  <w:num w:numId="2">
    <w:abstractNumId w:val="13"/>
  </w:num>
  <w:num w:numId="3">
    <w:abstractNumId w:val="10"/>
  </w:num>
  <w:num w:numId="4">
    <w:abstractNumId w:val="8"/>
  </w:num>
  <w:num w:numId="5">
    <w:abstractNumId w:val="11"/>
  </w:num>
  <w:num w:numId="6">
    <w:abstractNumId w:val="23"/>
  </w:num>
  <w:num w:numId="7">
    <w:abstractNumId w:val="7"/>
  </w:num>
  <w:num w:numId="8">
    <w:abstractNumId w:val="22"/>
  </w:num>
  <w:num w:numId="9">
    <w:abstractNumId w:val="19"/>
  </w:num>
  <w:num w:numId="10">
    <w:abstractNumId w:val="12"/>
  </w:num>
  <w:num w:numId="11">
    <w:abstractNumId w:val="3"/>
  </w:num>
  <w:num w:numId="12">
    <w:abstractNumId w:val="9"/>
  </w:num>
  <w:num w:numId="13">
    <w:abstractNumId w:val="2"/>
  </w:num>
  <w:num w:numId="14">
    <w:abstractNumId w:val="18"/>
  </w:num>
  <w:num w:numId="15">
    <w:abstractNumId w:val="21"/>
  </w:num>
  <w:num w:numId="16">
    <w:abstractNumId w:val="6"/>
  </w:num>
  <w:num w:numId="17">
    <w:abstractNumId w:val="14"/>
  </w:num>
  <w:num w:numId="18">
    <w:abstractNumId w:val="4"/>
  </w:num>
  <w:num w:numId="19">
    <w:abstractNumId w:val="16"/>
  </w:num>
  <w:num w:numId="20">
    <w:abstractNumId w:val="15"/>
  </w:num>
  <w:num w:numId="21">
    <w:abstractNumId w:val="1"/>
  </w:num>
  <w:num w:numId="22">
    <w:abstractNumId w:val="20"/>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7[bd{£¥‘“‵〈《「『【〔〝︵︷︹︻︽︿﹁﹏﹛﹝（｛"/>
  <w:noLineBreaksBefore w:lang="zh-TW" w:val="!'),.5:;?]c}¢·–—’”•‥…‧′╴、。〉》」』】〕〞︰︱︳︴︶︸︺︼︾﹀﹂﹄﹏﹐﹑﹒﹔﹕﹖﹗﹚﹜﹞！），．：；？］｜｝､"/>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C9E"/>
    <w:rsid w:val="00050443"/>
    <w:rsid w:val="00051543"/>
    <w:rsid w:val="0007601D"/>
    <w:rsid w:val="00087424"/>
    <w:rsid w:val="00096A67"/>
    <w:rsid w:val="000A3B47"/>
    <w:rsid w:val="000E7559"/>
    <w:rsid w:val="000E76B3"/>
    <w:rsid w:val="0010291A"/>
    <w:rsid w:val="00107460"/>
    <w:rsid w:val="00107C9E"/>
    <w:rsid w:val="00146297"/>
    <w:rsid w:val="00151F23"/>
    <w:rsid w:val="001C54AC"/>
    <w:rsid w:val="001E49DC"/>
    <w:rsid w:val="001F0060"/>
    <w:rsid w:val="002253A8"/>
    <w:rsid w:val="002404D0"/>
    <w:rsid w:val="002454C9"/>
    <w:rsid w:val="00260D77"/>
    <w:rsid w:val="00285DE5"/>
    <w:rsid w:val="002A0E52"/>
    <w:rsid w:val="002A4033"/>
    <w:rsid w:val="002D5009"/>
    <w:rsid w:val="002E0761"/>
    <w:rsid w:val="00301F1D"/>
    <w:rsid w:val="00312302"/>
    <w:rsid w:val="00330042"/>
    <w:rsid w:val="0035025E"/>
    <w:rsid w:val="003522CD"/>
    <w:rsid w:val="0035758A"/>
    <w:rsid w:val="00375E96"/>
    <w:rsid w:val="003776DD"/>
    <w:rsid w:val="00397B6F"/>
    <w:rsid w:val="003A7D2B"/>
    <w:rsid w:val="003B3474"/>
    <w:rsid w:val="003D4773"/>
    <w:rsid w:val="00432675"/>
    <w:rsid w:val="00441593"/>
    <w:rsid w:val="00441FA1"/>
    <w:rsid w:val="00452083"/>
    <w:rsid w:val="004529DE"/>
    <w:rsid w:val="00476165"/>
    <w:rsid w:val="0049268A"/>
    <w:rsid w:val="004A1129"/>
    <w:rsid w:val="004B5CDE"/>
    <w:rsid w:val="004B6D5D"/>
    <w:rsid w:val="004C299A"/>
    <w:rsid w:val="004C2F3A"/>
    <w:rsid w:val="004E1C92"/>
    <w:rsid w:val="00502BE7"/>
    <w:rsid w:val="00524E7A"/>
    <w:rsid w:val="00527C84"/>
    <w:rsid w:val="005369C0"/>
    <w:rsid w:val="00554B3A"/>
    <w:rsid w:val="00571E1C"/>
    <w:rsid w:val="00592FCE"/>
    <w:rsid w:val="005A44D2"/>
    <w:rsid w:val="005D4E36"/>
    <w:rsid w:val="005F787E"/>
    <w:rsid w:val="0060504F"/>
    <w:rsid w:val="006172DA"/>
    <w:rsid w:val="006235DC"/>
    <w:rsid w:val="006311C3"/>
    <w:rsid w:val="00671EB5"/>
    <w:rsid w:val="00683EBF"/>
    <w:rsid w:val="00694222"/>
    <w:rsid w:val="00696F27"/>
    <w:rsid w:val="006A464E"/>
    <w:rsid w:val="006B2731"/>
    <w:rsid w:val="006F6F69"/>
    <w:rsid w:val="00706A0B"/>
    <w:rsid w:val="00713312"/>
    <w:rsid w:val="007138ED"/>
    <w:rsid w:val="00752093"/>
    <w:rsid w:val="00754F7E"/>
    <w:rsid w:val="00761BC1"/>
    <w:rsid w:val="00787829"/>
    <w:rsid w:val="007B750B"/>
    <w:rsid w:val="007C0047"/>
    <w:rsid w:val="007C5095"/>
    <w:rsid w:val="007F7D87"/>
    <w:rsid w:val="00817F72"/>
    <w:rsid w:val="00824E5D"/>
    <w:rsid w:val="00841390"/>
    <w:rsid w:val="008928EA"/>
    <w:rsid w:val="008C4EFC"/>
    <w:rsid w:val="008F1458"/>
    <w:rsid w:val="00916DEE"/>
    <w:rsid w:val="0094141C"/>
    <w:rsid w:val="00941F59"/>
    <w:rsid w:val="0094301A"/>
    <w:rsid w:val="0094676A"/>
    <w:rsid w:val="00947A86"/>
    <w:rsid w:val="009541BD"/>
    <w:rsid w:val="009C05CB"/>
    <w:rsid w:val="009C4C0D"/>
    <w:rsid w:val="009D310B"/>
    <w:rsid w:val="009E3915"/>
    <w:rsid w:val="00A31772"/>
    <w:rsid w:val="00A34D98"/>
    <w:rsid w:val="00A46235"/>
    <w:rsid w:val="00A6768C"/>
    <w:rsid w:val="00A81882"/>
    <w:rsid w:val="00A8780E"/>
    <w:rsid w:val="00A9163A"/>
    <w:rsid w:val="00AC05EA"/>
    <w:rsid w:val="00AD7722"/>
    <w:rsid w:val="00B06066"/>
    <w:rsid w:val="00B30E35"/>
    <w:rsid w:val="00B54672"/>
    <w:rsid w:val="00B655BD"/>
    <w:rsid w:val="00B94864"/>
    <w:rsid w:val="00BC7CAD"/>
    <w:rsid w:val="00BD4BE1"/>
    <w:rsid w:val="00C003C6"/>
    <w:rsid w:val="00C10FEA"/>
    <w:rsid w:val="00C31BF5"/>
    <w:rsid w:val="00C57F28"/>
    <w:rsid w:val="00C94F21"/>
    <w:rsid w:val="00CA0B1D"/>
    <w:rsid w:val="00CA3B3A"/>
    <w:rsid w:val="00CE1263"/>
    <w:rsid w:val="00D062FE"/>
    <w:rsid w:val="00D07CB6"/>
    <w:rsid w:val="00D21026"/>
    <w:rsid w:val="00D225EE"/>
    <w:rsid w:val="00D23453"/>
    <w:rsid w:val="00D31235"/>
    <w:rsid w:val="00D6300C"/>
    <w:rsid w:val="00D80C5C"/>
    <w:rsid w:val="00D84D50"/>
    <w:rsid w:val="00D97014"/>
    <w:rsid w:val="00DB53B8"/>
    <w:rsid w:val="00DC5BB2"/>
    <w:rsid w:val="00DD671F"/>
    <w:rsid w:val="00E02D71"/>
    <w:rsid w:val="00E06CE6"/>
    <w:rsid w:val="00E1204A"/>
    <w:rsid w:val="00E36A63"/>
    <w:rsid w:val="00E471D9"/>
    <w:rsid w:val="00E663CE"/>
    <w:rsid w:val="00E8178D"/>
    <w:rsid w:val="00EA7289"/>
    <w:rsid w:val="00EB373B"/>
    <w:rsid w:val="00EF54AF"/>
    <w:rsid w:val="00F1017D"/>
    <w:rsid w:val="00F44E8A"/>
    <w:rsid w:val="00F71C72"/>
    <w:rsid w:val="00F84CB7"/>
    <w:rsid w:val="00F94478"/>
    <w:rsid w:val="00FB57C8"/>
    <w:rsid w:val="00FC2B6D"/>
    <w:rsid w:val="00FD7043"/>
    <w:rsid w:val="00FF3C68"/>
    <w:rsid w:val="00FF467A"/>
    <w:rsid w:val="00FF5C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C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2FCE"/>
    <w:pPr>
      <w:tabs>
        <w:tab w:val="center" w:pos="4153"/>
        <w:tab w:val="right" w:pos="8306"/>
      </w:tabs>
      <w:snapToGrid w:val="0"/>
    </w:pPr>
    <w:rPr>
      <w:sz w:val="20"/>
      <w:szCs w:val="20"/>
    </w:rPr>
  </w:style>
  <w:style w:type="character" w:customStyle="1" w:styleId="a4">
    <w:name w:val="頁首 字元"/>
    <w:basedOn w:val="a0"/>
    <w:link w:val="a3"/>
    <w:uiPriority w:val="99"/>
    <w:locked/>
    <w:rsid w:val="00592FCE"/>
    <w:rPr>
      <w:rFonts w:ascii="Times New Roman" w:hAnsi="Times New Roman" w:cs="Times New Roman"/>
      <w:sz w:val="20"/>
      <w:szCs w:val="20"/>
    </w:rPr>
  </w:style>
  <w:style w:type="paragraph" w:styleId="a5">
    <w:name w:val="footer"/>
    <w:basedOn w:val="a"/>
    <w:link w:val="a6"/>
    <w:uiPriority w:val="99"/>
    <w:rsid w:val="00592FCE"/>
    <w:pPr>
      <w:tabs>
        <w:tab w:val="center" w:pos="4153"/>
        <w:tab w:val="right" w:pos="8306"/>
      </w:tabs>
      <w:snapToGrid w:val="0"/>
    </w:pPr>
    <w:rPr>
      <w:sz w:val="20"/>
      <w:szCs w:val="20"/>
    </w:rPr>
  </w:style>
  <w:style w:type="character" w:customStyle="1" w:styleId="a6">
    <w:name w:val="頁尾 字元"/>
    <w:basedOn w:val="a0"/>
    <w:link w:val="a5"/>
    <w:uiPriority w:val="99"/>
    <w:locked/>
    <w:rsid w:val="00592FCE"/>
    <w:rPr>
      <w:rFonts w:ascii="Times New Roman" w:hAnsi="Times New Roman" w:cs="Times New Roman"/>
      <w:sz w:val="20"/>
      <w:szCs w:val="20"/>
    </w:rPr>
  </w:style>
  <w:style w:type="paragraph" w:styleId="a7">
    <w:name w:val="List Paragraph"/>
    <w:basedOn w:val="a"/>
    <w:uiPriority w:val="99"/>
    <w:qFormat/>
    <w:rsid w:val="00592FCE"/>
    <w:pPr>
      <w:ind w:leftChars="200" w:left="480"/>
    </w:pPr>
  </w:style>
  <w:style w:type="paragraph" w:customStyle="1" w:styleId="Pa28">
    <w:name w:val="Pa28"/>
    <w:basedOn w:val="a"/>
    <w:next w:val="a"/>
    <w:uiPriority w:val="99"/>
    <w:rsid w:val="00592FCE"/>
    <w:pPr>
      <w:autoSpaceDE w:val="0"/>
      <w:autoSpaceDN w:val="0"/>
      <w:adjustRightInd w:val="0"/>
      <w:spacing w:line="171" w:lineRule="atLeast"/>
    </w:pPr>
    <w:rPr>
      <w:rFonts w:ascii="AR HeiB5 Medium" w:eastAsia="AR HeiB5 Medium" w:hAnsi="Times New Roman" w:cs="AR HeiB5 Medium"/>
      <w:kern w:val="0"/>
    </w:rPr>
  </w:style>
  <w:style w:type="paragraph" w:customStyle="1" w:styleId="a8">
    <w:name w:val="a"/>
    <w:basedOn w:val="a"/>
    <w:uiPriority w:val="99"/>
    <w:rsid w:val="00592FCE"/>
    <w:pPr>
      <w:widowControl/>
      <w:spacing w:before="100" w:beforeAutospacing="1" w:after="100" w:afterAutospacing="1"/>
    </w:pPr>
    <w:rPr>
      <w:rFonts w:ascii="Arial Unicode MS" w:hAnsi="Arial Unicode MS" w:cs="Arial Unicode MS"/>
      <w:kern w:val="0"/>
    </w:rPr>
  </w:style>
  <w:style w:type="paragraph" w:styleId="HTML">
    <w:name w:val="HTML Preformatted"/>
    <w:basedOn w:val="a"/>
    <w:link w:val="HTML0"/>
    <w:uiPriority w:val="99"/>
    <w:rsid w:val="0059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locked/>
    <w:rsid w:val="00107C9E"/>
    <w:rPr>
      <w:rFonts w:ascii="Courier New" w:eastAsia="新細明體" w:hAnsi="Courier New" w:cs="Courier New"/>
      <w:sz w:val="20"/>
      <w:szCs w:val="20"/>
    </w:rPr>
  </w:style>
  <w:style w:type="paragraph" w:styleId="a9">
    <w:name w:val="Balloon Text"/>
    <w:basedOn w:val="a"/>
    <w:link w:val="aa"/>
    <w:uiPriority w:val="99"/>
    <w:semiHidden/>
    <w:rsid w:val="00F94478"/>
    <w:rPr>
      <w:rFonts w:ascii="Cambria" w:hAnsi="Cambria" w:cs="Times New Roman"/>
      <w:sz w:val="18"/>
      <w:szCs w:val="18"/>
    </w:rPr>
  </w:style>
  <w:style w:type="character" w:customStyle="1" w:styleId="aa">
    <w:name w:val="註解方塊文字 字元"/>
    <w:basedOn w:val="a0"/>
    <w:link w:val="a9"/>
    <w:uiPriority w:val="99"/>
    <w:semiHidden/>
    <w:locked/>
    <w:rsid w:val="00F94478"/>
    <w:rPr>
      <w:rFonts w:ascii="Cambria" w:eastAsia="新細明體" w:hAnsi="Cambria" w:cs="Times New Roman"/>
      <w:sz w:val="18"/>
      <w:szCs w:val="18"/>
    </w:rPr>
  </w:style>
  <w:style w:type="table" w:styleId="ab">
    <w:name w:val="Table Grid"/>
    <w:basedOn w:val="a1"/>
    <w:uiPriority w:val="99"/>
    <w:rsid w:val="000E755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rsid w:val="00FF3C68"/>
    <w:pPr>
      <w:widowControl/>
      <w:spacing w:before="100" w:beforeAutospacing="1" w:after="100" w:afterAutospacing="1"/>
    </w:pPr>
    <w:rPr>
      <w:rFonts w:ascii="新細明體" w:hAnsi="新細明體" w:cs="新細明體"/>
      <w:kern w:val="0"/>
    </w:rPr>
  </w:style>
  <w:style w:type="character" w:customStyle="1" w:styleId="20">
    <w:name w:val="本文縮排 2 字元"/>
    <w:basedOn w:val="a0"/>
    <w:link w:val="2"/>
    <w:uiPriority w:val="99"/>
    <w:locked/>
    <w:rsid w:val="00FF3C68"/>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016DC-B2EA-4BC7-A6E9-941791B1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Company>國家通訊傳播委員會</Company>
  <LinksUpToDate>false</LinksUpToDate>
  <CharactersWithSpaces>2203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2014-08-27T09:16:00Z</dcterms:created>
  <dc:creator>lmc</dc:creator>
  <lastModifiedBy>通訊營管處電信加值服務科吳忠哲</lastModifiedBy>
  <lastPrinted>2014-04-29T05:34:00Z</lastPrinted>
  <dcterms:modified xsi:type="dcterms:W3CDTF">2014-08-27T09:19:00Z</dcterms:modified>
  <revision>4</revision>
</coreProperties>
</file>