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7882"/>
        <w:gridCol w:w="328"/>
      </w:tblGrid>
      <w:tr w:rsidR="00EC4FF3" w:rsidRPr="00EC4FF3">
        <w:trPr>
          <w:gridAfter w:val="1"/>
          <w:trHeight w:val="336"/>
          <w:tblCellSpacing w:w="0" w:type="dxa"/>
          <w:jc w:val="center"/>
        </w:trPr>
        <w:tc>
          <w:tcPr>
            <w:tcW w:w="4800" w:type="pct"/>
            <w:tcMar>
              <w:top w:w="60" w:type="dxa"/>
              <w:left w:w="0" w:type="dxa"/>
              <w:bottom w:w="0" w:type="dxa"/>
              <w:right w:w="72" w:type="dxa"/>
            </w:tcMar>
            <w:vAlign w:val="center"/>
            <w:hideMark/>
          </w:tcPr>
          <w:p w:rsidR="00EC4FF3" w:rsidRPr="00EC4FF3" w:rsidRDefault="00EC4FF3" w:rsidP="00EC4FF3">
            <w:pPr>
              <w:widowControl/>
              <w:spacing w:before="96"/>
              <w:jc w:val="center"/>
              <w:rPr>
                <w:rFonts w:ascii="Verdana" w:eastAsia="新細明體" w:hAnsi="Verdana" w:cs="新細明體"/>
                <w:color w:val="9C2A2A"/>
                <w:kern w:val="0"/>
                <w:sz w:val="23"/>
                <w:szCs w:val="23"/>
              </w:rPr>
            </w:pPr>
            <w:r w:rsidRPr="00EC4FF3">
              <w:rPr>
                <w:rFonts w:ascii="Verdana" w:eastAsia="新細明體" w:hAnsi="Verdana" w:cs="新細明體"/>
                <w:color w:val="9C2A2A"/>
                <w:kern w:val="0"/>
                <w:sz w:val="23"/>
                <w:szCs w:val="23"/>
              </w:rPr>
              <w:t>固定通信業務管理規則</w:t>
            </w:r>
          </w:p>
        </w:tc>
      </w:tr>
      <w:tr w:rsidR="00EC4FF3" w:rsidRPr="00EC4FF3">
        <w:trPr>
          <w:tblCellSpacing w:w="0" w:type="dxa"/>
          <w:jc w:val="center"/>
        </w:trPr>
        <w:tc>
          <w:tcPr>
            <w:tcW w:w="0" w:type="auto"/>
            <w:gridSpan w:val="2"/>
            <w:vAlign w:val="center"/>
            <w:hideMark/>
          </w:tcPr>
          <w:p w:rsidR="00EC4FF3" w:rsidRPr="00EC4FF3" w:rsidRDefault="00EC4FF3" w:rsidP="00EC4FF3">
            <w:pPr>
              <w:widowControl/>
              <w:spacing w:before="100" w:beforeAutospacing="1" w:after="100" w:afterAutospacing="1"/>
              <w:jc w:val="center"/>
              <w:rPr>
                <w:rFonts w:ascii="Verdana" w:eastAsia="新細明體" w:hAnsi="Verdana" w:cs="新細明體"/>
                <w:color w:val="363636"/>
                <w:kern w:val="0"/>
                <w:szCs w:val="24"/>
              </w:rPr>
            </w:pPr>
            <w:r w:rsidRPr="00EC4FF3">
              <w:rPr>
                <w:rFonts w:ascii="Verdana" w:eastAsia="新細明體" w:hAnsi="Verdana" w:cs="新細明體"/>
                <w:color w:val="363636"/>
                <w:kern w:val="0"/>
                <w:szCs w:val="24"/>
              </w:rPr>
              <w:t>中華民國九十四年九月二十日</w:t>
            </w:r>
            <w:r w:rsidRPr="00EC4FF3">
              <w:rPr>
                <w:rFonts w:ascii="Verdana" w:eastAsia="新細明體" w:hAnsi="Verdana" w:cs="新細明體"/>
                <w:color w:val="363636"/>
                <w:kern w:val="0"/>
                <w:szCs w:val="24"/>
              </w:rPr>
              <w:t xml:space="preserve"> </w:t>
            </w:r>
          </w:p>
        </w:tc>
      </w:tr>
      <w:tr w:rsidR="00EC4FF3" w:rsidRPr="00EC4FF3">
        <w:trPr>
          <w:tblCellSpacing w:w="0" w:type="dxa"/>
          <w:jc w:val="center"/>
        </w:trPr>
        <w:tc>
          <w:tcPr>
            <w:tcW w:w="0" w:type="auto"/>
            <w:gridSpan w:val="2"/>
            <w:tcMar>
              <w:top w:w="60" w:type="dxa"/>
              <w:left w:w="108" w:type="dxa"/>
              <w:bottom w:w="60" w:type="dxa"/>
              <w:right w:w="84" w:type="dxa"/>
            </w:tcMar>
            <w:hideMark/>
          </w:tcPr>
          <w:p w:rsidR="00EC4FF3" w:rsidRPr="00EC4FF3" w:rsidRDefault="00EC4FF3" w:rsidP="00EC4FF3">
            <w:pPr>
              <w:widowControl/>
              <w:rPr>
                <w:rFonts w:ascii="Verdana" w:eastAsia="新細明體" w:hAnsi="Verdana" w:cs="新細明體"/>
                <w:color w:val="363636"/>
                <w:kern w:val="0"/>
                <w:sz w:val="19"/>
                <w:szCs w:val="19"/>
              </w:rPr>
            </w:pPr>
            <w:r w:rsidRPr="00EC4FF3">
              <w:rPr>
                <w:rFonts w:ascii="Verdana" w:eastAsia="新細明體" w:hAnsi="Verdana" w:cs="新細明體"/>
                <w:color w:val="BAA039"/>
                <w:kern w:val="0"/>
                <w:sz w:val="19"/>
                <w:szCs w:val="19"/>
              </w:rPr>
              <w:t>交通部</w:t>
            </w:r>
            <w:proofErr w:type="gramStart"/>
            <w:r w:rsidRPr="00EC4FF3">
              <w:rPr>
                <w:rFonts w:ascii="Verdana" w:eastAsia="新細明體" w:hAnsi="Verdana" w:cs="新細明體"/>
                <w:color w:val="BAA039"/>
                <w:kern w:val="0"/>
                <w:sz w:val="19"/>
                <w:szCs w:val="19"/>
              </w:rPr>
              <w:t>交郵字</w:t>
            </w:r>
            <w:proofErr w:type="gramEnd"/>
            <w:r w:rsidRPr="00EC4FF3">
              <w:rPr>
                <w:rFonts w:ascii="Verdana" w:eastAsia="新細明體" w:hAnsi="Verdana" w:cs="新細明體"/>
                <w:color w:val="BAA039"/>
                <w:kern w:val="0"/>
                <w:sz w:val="19"/>
                <w:szCs w:val="19"/>
              </w:rPr>
              <w:t>第</w:t>
            </w:r>
            <w:r w:rsidRPr="00EC4FF3">
              <w:rPr>
                <w:rFonts w:ascii="Verdana" w:eastAsia="新細明體" w:hAnsi="Verdana" w:cs="新細明體"/>
                <w:color w:val="BAA039"/>
                <w:kern w:val="0"/>
                <w:sz w:val="19"/>
                <w:szCs w:val="19"/>
              </w:rPr>
              <w:t xml:space="preserve"> 09400850441 </w:t>
            </w:r>
            <w:r w:rsidRPr="00EC4FF3">
              <w:rPr>
                <w:rFonts w:ascii="Verdana" w:eastAsia="新細明體" w:hAnsi="Verdana" w:cs="新細明體"/>
                <w:color w:val="BAA039"/>
                <w:kern w:val="0"/>
                <w:sz w:val="19"/>
                <w:szCs w:val="19"/>
              </w:rPr>
              <w:t>號令修正發布第</w:t>
            </w:r>
            <w:r w:rsidRPr="00EC4FF3">
              <w:rPr>
                <w:rFonts w:ascii="Verdana" w:eastAsia="新細明體" w:hAnsi="Verdana" w:cs="新細明體"/>
                <w:color w:val="BAA039"/>
                <w:kern w:val="0"/>
                <w:sz w:val="19"/>
                <w:szCs w:val="19"/>
              </w:rPr>
              <w:t xml:space="preserve"> 2</w:t>
            </w:r>
            <w:r w:rsidRPr="00EC4FF3">
              <w:rPr>
                <w:rFonts w:ascii="Verdana" w:eastAsia="新細明體" w:hAnsi="Verdana" w:cs="新細明體"/>
                <w:color w:val="BAA039"/>
                <w:kern w:val="0"/>
                <w:sz w:val="19"/>
                <w:szCs w:val="19"/>
              </w:rPr>
              <w:t>、</w:t>
            </w:r>
            <w:r w:rsidRPr="00EC4FF3">
              <w:rPr>
                <w:rFonts w:ascii="Verdana" w:eastAsia="新細明體" w:hAnsi="Verdana" w:cs="新細明體"/>
                <w:color w:val="BAA039"/>
                <w:kern w:val="0"/>
                <w:sz w:val="19"/>
                <w:szCs w:val="19"/>
              </w:rPr>
              <w:t>8</w:t>
            </w:r>
            <w:r w:rsidRPr="00EC4FF3">
              <w:rPr>
                <w:rFonts w:ascii="Verdana" w:eastAsia="新細明體" w:hAnsi="Verdana" w:cs="新細明體"/>
                <w:color w:val="BAA039"/>
                <w:kern w:val="0"/>
                <w:sz w:val="19"/>
                <w:szCs w:val="19"/>
              </w:rPr>
              <w:t>、</w:t>
            </w:r>
            <w:r w:rsidRPr="00EC4FF3">
              <w:rPr>
                <w:rFonts w:ascii="Verdana" w:eastAsia="新細明體" w:hAnsi="Verdana" w:cs="新細明體"/>
                <w:color w:val="BAA039"/>
                <w:kern w:val="0"/>
                <w:sz w:val="19"/>
                <w:szCs w:val="19"/>
              </w:rPr>
              <w:t>11</w:t>
            </w:r>
            <w:r w:rsidRPr="00EC4FF3">
              <w:rPr>
                <w:rFonts w:ascii="Verdana" w:eastAsia="新細明體" w:hAnsi="Verdana" w:cs="新細明體"/>
                <w:color w:val="BAA039"/>
                <w:kern w:val="0"/>
                <w:sz w:val="19"/>
                <w:szCs w:val="19"/>
              </w:rPr>
              <w:t>、</w:t>
            </w:r>
            <w:r w:rsidRPr="00EC4FF3">
              <w:rPr>
                <w:rFonts w:ascii="Verdana" w:eastAsia="新細明體" w:hAnsi="Verdana" w:cs="新細明體"/>
                <w:color w:val="BAA039"/>
                <w:kern w:val="0"/>
                <w:sz w:val="19"/>
                <w:szCs w:val="19"/>
              </w:rPr>
              <w:t>12</w:t>
            </w:r>
            <w:r w:rsidRPr="00EC4FF3">
              <w:rPr>
                <w:rFonts w:ascii="Verdana" w:eastAsia="新細明體" w:hAnsi="Verdana" w:cs="新細明體"/>
                <w:color w:val="BAA039"/>
                <w:kern w:val="0"/>
                <w:sz w:val="19"/>
                <w:szCs w:val="19"/>
              </w:rPr>
              <w:t>、</w:t>
            </w:r>
            <w:r w:rsidRPr="00EC4FF3">
              <w:rPr>
                <w:rFonts w:ascii="Verdana" w:eastAsia="新細明體" w:hAnsi="Verdana" w:cs="新細明體"/>
                <w:color w:val="BAA039"/>
                <w:kern w:val="0"/>
                <w:sz w:val="19"/>
                <w:szCs w:val="19"/>
              </w:rPr>
              <w:t>15</w:t>
            </w:r>
            <w:r w:rsidRPr="00EC4FF3">
              <w:rPr>
                <w:rFonts w:ascii="Verdana" w:eastAsia="新細明體" w:hAnsi="Verdana" w:cs="新細明體"/>
                <w:color w:val="BAA039"/>
                <w:kern w:val="0"/>
                <w:sz w:val="19"/>
                <w:szCs w:val="19"/>
              </w:rPr>
              <w:t>、</w:t>
            </w:r>
            <w:r w:rsidRPr="00EC4FF3">
              <w:rPr>
                <w:rFonts w:ascii="Verdana" w:eastAsia="新細明體" w:hAnsi="Verdana" w:cs="新細明體"/>
                <w:color w:val="BAA039"/>
                <w:kern w:val="0"/>
                <w:sz w:val="19"/>
                <w:szCs w:val="19"/>
              </w:rPr>
              <w:t>17</w:t>
            </w:r>
            <w:r w:rsidRPr="00EC4FF3">
              <w:rPr>
                <w:rFonts w:ascii="Verdana" w:eastAsia="新細明體" w:hAnsi="Verdana" w:cs="新細明體"/>
                <w:color w:val="BAA039"/>
                <w:kern w:val="0"/>
                <w:sz w:val="19"/>
                <w:szCs w:val="19"/>
              </w:rPr>
              <w:t>、</w:t>
            </w:r>
            <w:r w:rsidRPr="00EC4FF3">
              <w:rPr>
                <w:rFonts w:ascii="Verdana" w:eastAsia="新細明體" w:hAnsi="Verdana" w:cs="新細明體"/>
                <w:color w:val="BAA039"/>
                <w:kern w:val="0"/>
                <w:sz w:val="19"/>
                <w:szCs w:val="19"/>
              </w:rPr>
              <w:t>19</w:t>
            </w:r>
            <w:r w:rsidRPr="00EC4FF3">
              <w:rPr>
                <w:rFonts w:ascii="Verdana" w:eastAsia="新細明體" w:hAnsi="Verdana" w:cs="新細明體"/>
                <w:color w:val="BAA039"/>
                <w:kern w:val="0"/>
                <w:sz w:val="19"/>
                <w:szCs w:val="19"/>
              </w:rPr>
              <w:t>、</w:t>
            </w:r>
            <w:r w:rsidRPr="00EC4FF3">
              <w:rPr>
                <w:rFonts w:ascii="Verdana" w:eastAsia="新細明體" w:hAnsi="Verdana" w:cs="新細明體"/>
                <w:color w:val="BAA039"/>
                <w:kern w:val="0"/>
                <w:sz w:val="19"/>
                <w:szCs w:val="19"/>
              </w:rPr>
              <w:t>20</w:t>
            </w:r>
            <w:r w:rsidRPr="00EC4FF3">
              <w:rPr>
                <w:rFonts w:ascii="Verdana" w:eastAsia="新細明體" w:hAnsi="Verdana" w:cs="新細明體"/>
                <w:color w:val="BAA039"/>
                <w:kern w:val="0"/>
                <w:sz w:val="19"/>
                <w:szCs w:val="19"/>
              </w:rPr>
              <w:t>、</w:t>
            </w:r>
            <w:r w:rsidRPr="00EC4FF3">
              <w:rPr>
                <w:rFonts w:ascii="Verdana" w:eastAsia="新細明體" w:hAnsi="Verdana" w:cs="新細明體"/>
                <w:color w:val="BAA039"/>
                <w:kern w:val="0"/>
                <w:sz w:val="19"/>
                <w:szCs w:val="19"/>
              </w:rPr>
              <w:t>23</w:t>
            </w:r>
            <w:r w:rsidRPr="00EC4FF3">
              <w:rPr>
                <w:rFonts w:ascii="Verdana" w:eastAsia="新細明體" w:hAnsi="Verdana" w:cs="新細明體"/>
                <w:color w:val="BAA039"/>
                <w:kern w:val="0"/>
                <w:sz w:val="19"/>
                <w:szCs w:val="19"/>
              </w:rPr>
              <w:t>、</w:t>
            </w:r>
            <w:r w:rsidRPr="00EC4FF3">
              <w:rPr>
                <w:rFonts w:ascii="Verdana" w:eastAsia="新細明體" w:hAnsi="Verdana" w:cs="新細明體"/>
                <w:color w:val="BAA039"/>
                <w:kern w:val="0"/>
                <w:sz w:val="19"/>
                <w:szCs w:val="19"/>
              </w:rPr>
              <w:t>23-1</w:t>
            </w:r>
            <w:r w:rsidRPr="00EC4FF3">
              <w:rPr>
                <w:rFonts w:ascii="Verdana" w:eastAsia="新細明體" w:hAnsi="Verdana" w:cs="新細明體"/>
                <w:color w:val="BAA039"/>
                <w:kern w:val="0"/>
                <w:sz w:val="19"/>
                <w:szCs w:val="19"/>
              </w:rPr>
              <w:t>、</w:t>
            </w:r>
            <w:r w:rsidRPr="00EC4FF3">
              <w:rPr>
                <w:rFonts w:ascii="Verdana" w:eastAsia="新細明體" w:hAnsi="Verdana" w:cs="新細明體"/>
                <w:color w:val="BAA039"/>
                <w:kern w:val="0"/>
                <w:sz w:val="19"/>
                <w:szCs w:val="19"/>
              </w:rPr>
              <w:t>23-2</w:t>
            </w:r>
            <w:r w:rsidRPr="00EC4FF3">
              <w:rPr>
                <w:rFonts w:ascii="Verdana" w:eastAsia="新細明體" w:hAnsi="Verdana" w:cs="新細明體"/>
                <w:color w:val="BAA039"/>
                <w:kern w:val="0"/>
                <w:sz w:val="19"/>
                <w:szCs w:val="19"/>
              </w:rPr>
              <w:t>、</w:t>
            </w:r>
            <w:r w:rsidRPr="00EC4FF3">
              <w:rPr>
                <w:rFonts w:ascii="Verdana" w:eastAsia="新細明體" w:hAnsi="Verdana" w:cs="新細明體"/>
                <w:color w:val="BAA039"/>
                <w:kern w:val="0"/>
                <w:sz w:val="19"/>
                <w:szCs w:val="19"/>
              </w:rPr>
              <w:t xml:space="preserve">27 </w:t>
            </w:r>
            <w:r w:rsidRPr="00EC4FF3">
              <w:rPr>
                <w:rFonts w:ascii="Verdana" w:eastAsia="新細明體" w:hAnsi="Verdana" w:cs="新細明體"/>
                <w:color w:val="BAA039"/>
                <w:kern w:val="0"/>
                <w:sz w:val="19"/>
                <w:szCs w:val="19"/>
              </w:rPr>
              <w:t>條條文；並增訂第</w:t>
            </w:r>
            <w:r w:rsidRPr="00EC4FF3">
              <w:rPr>
                <w:rFonts w:ascii="Verdana" w:eastAsia="新細明體" w:hAnsi="Verdana" w:cs="新細明體"/>
                <w:color w:val="BAA039"/>
                <w:kern w:val="0"/>
                <w:sz w:val="19"/>
                <w:szCs w:val="19"/>
              </w:rPr>
              <w:t xml:space="preserve"> 4-2</w:t>
            </w:r>
            <w:r w:rsidRPr="00EC4FF3">
              <w:rPr>
                <w:rFonts w:ascii="Verdana" w:eastAsia="新細明體" w:hAnsi="Verdana" w:cs="新細明體"/>
                <w:color w:val="BAA039"/>
                <w:kern w:val="0"/>
                <w:sz w:val="19"/>
                <w:szCs w:val="19"/>
              </w:rPr>
              <w:t>、</w:t>
            </w:r>
            <w:r w:rsidRPr="00EC4FF3">
              <w:rPr>
                <w:rFonts w:ascii="Verdana" w:eastAsia="新細明體" w:hAnsi="Verdana" w:cs="新細明體"/>
                <w:color w:val="BAA039"/>
                <w:kern w:val="0"/>
                <w:sz w:val="19"/>
                <w:szCs w:val="19"/>
              </w:rPr>
              <w:t>7-1</w:t>
            </w:r>
            <w:r w:rsidRPr="00EC4FF3">
              <w:rPr>
                <w:rFonts w:ascii="Verdana" w:eastAsia="新細明體" w:hAnsi="Verdana" w:cs="新細明體"/>
                <w:color w:val="BAA039"/>
                <w:kern w:val="0"/>
                <w:sz w:val="19"/>
                <w:szCs w:val="19"/>
              </w:rPr>
              <w:t>、</w:t>
            </w:r>
            <w:r w:rsidRPr="00EC4FF3">
              <w:rPr>
                <w:rFonts w:ascii="Verdana" w:eastAsia="新細明體" w:hAnsi="Verdana" w:cs="新細明體"/>
                <w:color w:val="BAA039"/>
                <w:kern w:val="0"/>
                <w:sz w:val="19"/>
                <w:szCs w:val="19"/>
              </w:rPr>
              <w:t>22-1</w:t>
            </w:r>
            <w:r w:rsidRPr="00EC4FF3">
              <w:rPr>
                <w:rFonts w:ascii="Verdana" w:eastAsia="新細明體" w:hAnsi="Verdana" w:cs="新細明體"/>
                <w:color w:val="BAA039"/>
                <w:kern w:val="0"/>
                <w:sz w:val="19"/>
                <w:szCs w:val="19"/>
              </w:rPr>
              <w:t>～</w:t>
            </w:r>
            <w:r w:rsidRPr="00EC4FF3">
              <w:rPr>
                <w:rFonts w:ascii="Verdana" w:eastAsia="新細明體" w:hAnsi="Verdana" w:cs="新細明體"/>
                <w:color w:val="BAA039"/>
                <w:kern w:val="0"/>
                <w:sz w:val="19"/>
                <w:szCs w:val="19"/>
              </w:rPr>
              <w:t>22-3</w:t>
            </w:r>
            <w:r w:rsidRPr="00EC4FF3">
              <w:rPr>
                <w:rFonts w:ascii="Verdana" w:eastAsia="新細明體" w:hAnsi="Verdana" w:cs="新細明體"/>
                <w:color w:val="BAA039"/>
                <w:kern w:val="0"/>
                <w:sz w:val="19"/>
                <w:szCs w:val="19"/>
              </w:rPr>
              <w:t>、</w:t>
            </w:r>
            <w:r w:rsidRPr="00EC4FF3">
              <w:rPr>
                <w:rFonts w:ascii="Verdana" w:eastAsia="新細明體" w:hAnsi="Verdana" w:cs="新細明體"/>
                <w:color w:val="BAA039"/>
                <w:kern w:val="0"/>
                <w:sz w:val="19"/>
                <w:szCs w:val="19"/>
              </w:rPr>
              <w:t>23-3</w:t>
            </w:r>
            <w:r w:rsidRPr="00EC4FF3">
              <w:rPr>
                <w:rFonts w:ascii="Verdana" w:eastAsia="新細明體" w:hAnsi="Verdana" w:cs="新細明體"/>
                <w:color w:val="BAA039"/>
                <w:kern w:val="0"/>
                <w:sz w:val="19"/>
                <w:szCs w:val="19"/>
              </w:rPr>
              <w:t>～</w:t>
            </w:r>
            <w:r w:rsidRPr="00EC4FF3">
              <w:rPr>
                <w:rFonts w:ascii="Verdana" w:eastAsia="新細明體" w:hAnsi="Verdana" w:cs="新細明體"/>
                <w:color w:val="BAA039"/>
                <w:kern w:val="0"/>
                <w:sz w:val="19"/>
                <w:szCs w:val="19"/>
              </w:rPr>
              <w:t>23-5</w:t>
            </w:r>
            <w:r w:rsidRPr="00EC4FF3">
              <w:rPr>
                <w:rFonts w:ascii="Verdana" w:eastAsia="新細明體" w:hAnsi="Verdana" w:cs="新細明體"/>
                <w:color w:val="BAA039"/>
                <w:kern w:val="0"/>
                <w:sz w:val="19"/>
                <w:szCs w:val="19"/>
              </w:rPr>
              <w:t>、</w:t>
            </w:r>
            <w:r w:rsidRPr="00EC4FF3">
              <w:rPr>
                <w:rFonts w:ascii="Verdana" w:eastAsia="新細明體" w:hAnsi="Verdana" w:cs="新細明體"/>
                <w:color w:val="BAA039"/>
                <w:kern w:val="0"/>
                <w:sz w:val="19"/>
                <w:szCs w:val="19"/>
              </w:rPr>
              <w:t xml:space="preserve">32-1 </w:t>
            </w:r>
            <w:r w:rsidRPr="00EC4FF3">
              <w:rPr>
                <w:rFonts w:ascii="Verdana" w:eastAsia="新細明體" w:hAnsi="Verdana" w:cs="新細明體"/>
                <w:color w:val="BAA039"/>
                <w:kern w:val="0"/>
                <w:sz w:val="19"/>
                <w:szCs w:val="19"/>
              </w:rPr>
              <w:t>條條文</w:t>
            </w:r>
            <w:r w:rsidRPr="00EC4FF3">
              <w:rPr>
                <w:rFonts w:ascii="Verdana" w:eastAsia="新細明體" w:hAnsi="Verdana" w:cs="新細明體"/>
                <w:color w:val="363636"/>
                <w:kern w:val="0"/>
                <w:sz w:val="19"/>
                <w:szCs w:val="19"/>
              </w:rPr>
              <w:br/>
            </w:r>
          </w:p>
          <w:tbl>
            <w:tblPr>
              <w:tblW w:w="7200" w:type="dxa"/>
              <w:jc w:val="center"/>
              <w:tblCellSpacing w:w="15" w:type="dxa"/>
              <w:tblCellMar>
                <w:top w:w="15" w:type="dxa"/>
                <w:left w:w="15" w:type="dxa"/>
                <w:bottom w:w="15" w:type="dxa"/>
                <w:right w:w="15" w:type="dxa"/>
              </w:tblCellMar>
              <w:tblLook w:val="04A0"/>
            </w:tblPr>
            <w:tblGrid>
              <w:gridCol w:w="1148"/>
              <w:gridCol w:w="6052"/>
            </w:tblGrid>
            <w:tr w:rsidR="00EC4FF3" w:rsidRPr="00EC4FF3">
              <w:trPr>
                <w:tblCellSpacing w:w="15" w:type="dxa"/>
                <w:jc w:val="center"/>
              </w:trPr>
              <w:tc>
                <w:tcPr>
                  <w:tcW w:w="0" w:type="auto"/>
                  <w:gridSpan w:val="2"/>
                  <w:vAlign w:val="center"/>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b/>
                      <w:bCs/>
                      <w:color w:val="363636"/>
                      <w:kern w:val="0"/>
                      <w:sz w:val="20"/>
                      <w:szCs w:val="20"/>
                    </w:rPr>
                    <w:t>第</w:t>
                  </w:r>
                  <w:r w:rsidRPr="00EC4FF3">
                    <w:rPr>
                      <w:rFonts w:ascii="Verdana" w:eastAsia="新細明體" w:hAnsi="Verdana" w:cs="新細明體"/>
                      <w:b/>
                      <w:bCs/>
                      <w:color w:val="363636"/>
                      <w:kern w:val="0"/>
                      <w:sz w:val="20"/>
                      <w:szCs w:val="20"/>
                    </w:rPr>
                    <w:t> </w:t>
                  </w:r>
                  <w:r w:rsidRPr="00EC4FF3">
                    <w:rPr>
                      <w:rFonts w:ascii="Verdana" w:eastAsia="新細明體" w:hAnsi="Verdana" w:cs="新細明體"/>
                      <w:b/>
                      <w:bCs/>
                      <w:color w:val="363636"/>
                      <w:kern w:val="0"/>
                      <w:sz w:val="20"/>
                      <w:szCs w:val="20"/>
                    </w:rPr>
                    <w:t>一</w:t>
                  </w:r>
                  <w:r w:rsidRPr="00EC4FF3">
                    <w:rPr>
                      <w:rFonts w:ascii="Verdana" w:eastAsia="新細明體" w:hAnsi="Verdana" w:cs="新細明體"/>
                      <w:b/>
                      <w:bCs/>
                      <w:color w:val="363636"/>
                      <w:kern w:val="0"/>
                      <w:sz w:val="20"/>
                      <w:szCs w:val="20"/>
                    </w:rPr>
                    <w:t> </w:t>
                  </w:r>
                  <w:r w:rsidRPr="00EC4FF3">
                    <w:rPr>
                      <w:rFonts w:ascii="Verdana" w:eastAsia="新細明體" w:hAnsi="Verdana" w:cs="新細明體"/>
                      <w:b/>
                      <w:bCs/>
                      <w:color w:val="363636"/>
                      <w:kern w:val="0"/>
                      <w:sz w:val="20"/>
                      <w:szCs w:val="20"/>
                    </w:rPr>
                    <w:t>章</w:t>
                  </w:r>
                  <w:r w:rsidRPr="00EC4FF3">
                    <w:rPr>
                      <w:rFonts w:ascii="Verdana" w:eastAsia="新細明體" w:hAnsi="Verdana" w:cs="新細明體"/>
                      <w:b/>
                      <w:bCs/>
                      <w:color w:val="363636"/>
                      <w:kern w:val="0"/>
                      <w:sz w:val="20"/>
                      <w:szCs w:val="20"/>
                    </w:rPr>
                    <w:t> </w:t>
                  </w:r>
                  <w:r w:rsidRPr="00EC4FF3">
                    <w:rPr>
                      <w:rFonts w:ascii="Verdana" w:eastAsia="新細明體" w:hAnsi="Verdana" w:cs="新細明體"/>
                      <w:b/>
                      <w:bCs/>
                      <w:color w:val="363636"/>
                      <w:kern w:val="0"/>
                      <w:sz w:val="20"/>
                      <w:szCs w:val="20"/>
                    </w:rPr>
                    <w:t>總則</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1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本規則依電信法 (以下簡稱本法) 第十四條第六項規定訂定之。</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2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本規則用詞定義如下：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一、固定通信系統：指利用有線或其他經主管機關核准之傳輸方式連接固</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定發信端與</w:t>
                  </w:r>
                  <w:proofErr w:type="gramStart"/>
                  <w:r w:rsidRPr="00EC4FF3">
                    <w:rPr>
                      <w:rFonts w:ascii="細明體" w:eastAsia="細明體" w:hAnsi="細明體" w:cs="細明體"/>
                      <w:color w:val="363636"/>
                      <w:kern w:val="0"/>
                      <w:szCs w:val="24"/>
                    </w:rPr>
                    <w:t>受信端之</w:t>
                  </w:r>
                  <w:proofErr w:type="gramEnd"/>
                  <w:r w:rsidRPr="00EC4FF3">
                    <w:rPr>
                      <w:rFonts w:ascii="細明體" w:eastAsia="細明體" w:hAnsi="細明體" w:cs="細明體"/>
                      <w:color w:val="363636"/>
                      <w:kern w:val="0"/>
                      <w:szCs w:val="24"/>
                    </w:rPr>
                    <w:t>網路傳輸設備、與網路傳輸設備形成一體而設置</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之交換設備，以及二者之附屬設備所組成之通信系統。</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二、固定通信網路：指由固定通信系統所組成之通信網路。</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三、固定通信：指利用固定通信網路發送、傳輸或接收語音、數據、影像</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、視訊、多媒體或其他性質訊息之通信。</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四、固定通信業務：指經營者利用固定通信網路提供固定通信服務之業務</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五、經營者：指經交通部特許並發給執照經營固定通信業務者。</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六、管線基礎設施：指為建設市內、長途及國際通信所需之架空、地下或</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水底電信線路、電信引進線、電信用戶設備線路，及各項電信傳輸線</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路所需之管道、人孔、</w:t>
                  </w:r>
                  <w:proofErr w:type="gramStart"/>
                  <w:r w:rsidRPr="00EC4FF3">
                    <w:rPr>
                      <w:rFonts w:ascii="細明體" w:eastAsia="細明體" w:hAnsi="細明體" w:cs="細明體"/>
                      <w:color w:val="363636"/>
                      <w:kern w:val="0"/>
                      <w:szCs w:val="24"/>
                    </w:rPr>
                    <w:t>手孔</w:t>
                  </w:r>
                  <w:proofErr w:type="gramEnd"/>
                  <w:r w:rsidRPr="00EC4FF3">
                    <w:rPr>
                      <w:rFonts w:ascii="細明體" w:eastAsia="細明體" w:hAnsi="細明體" w:cs="細明體"/>
                      <w:color w:val="363636"/>
                      <w:kern w:val="0"/>
                      <w:szCs w:val="24"/>
                    </w:rPr>
                    <w:t>、塔台、電</w:t>
                  </w:r>
                  <w:proofErr w:type="gramStart"/>
                  <w:r w:rsidRPr="00EC4FF3">
                    <w:rPr>
                      <w:rFonts w:ascii="細明體" w:eastAsia="細明體" w:hAnsi="細明體" w:cs="細明體"/>
                      <w:color w:val="363636"/>
                      <w:kern w:val="0"/>
                      <w:szCs w:val="24"/>
                    </w:rPr>
                    <w:t>桿</w:t>
                  </w:r>
                  <w:proofErr w:type="gramEnd"/>
                  <w:r w:rsidRPr="00EC4FF3">
                    <w:rPr>
                      <w:rFonts w:ascii="細明體" w:eastAsia="細明體" w:hAnsi="細明體" w:cs="細明體"/>
                      <w:color w:val="363636"/>
                      <w:kern w:val="0"/>
                      <w:szCs w:val="24"/>
                    </w:rPr>
                    <w:t>、</w:t>
                  </w:r>
                  <w:proofErr w:type="gramStart"/>
                  <w:r w:rsidRPr="00EC4FF3">
                    <w:rPr>
                      <w:rFonts w:ascii="細明體" w:eastAsia="細明體" w:hAnsi="細明體" w:cs="細明體"/>
                      <w:color w:val="363636"/>
                      <w:kern w:val="0"/>
                      <w:szCs w:val="24"/>
                    </w:rPr>
                    <w:t>配線架</w:t>
                  </w:r>
                  <w:proofErr w:type="gramEnd"/>
                  <w:r w:rsidRPr="00EC4FF3">
                    <w:rPr>
                      <w:rFonts w:ascii="細明體" w:eastAsia="細明體" w:hAnsi="細明體" w:cs="細明體"/>
                      <w:color w:val="363636"/>
                      <w:kern w:val="0"/>
                      <w:szCs w:val="24"/>
                    </w:rPr>
                    <w:t>、機房及其他附屬</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或相關設施。</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七、固定通信業務市場主導者：指依第一類電信事業資費管理辦法第十條</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所規定之經營者。</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八、用戶：指與經營者訂定契約，使用該經營者提供之固定通信服務者。</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九、使用者：指用戶及其他使用經營者提供之固定通信服</w:t>
                  </w:r>
                  <w:r w:rsidRPr="00EC4FF3">
                    <w:rPr>
                      <w:rFonts w:ascii="細明體" w:eastAsia="細明體" w:hAnsi="細明體" w:cs="細明體"/>
                      <w:color w:val="363636"/>
                      <w:kern w:val="0"/>
                      <w:szCs w:val="24"/>
                    </w:rPr>
                    <w:lastRenderedPageBreak/>
                    <w:t>務者。</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十、公用電話：指由經營者設置以投幣、簽帳卡、信用卡或預付卡付費，</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供公眾使用之電話。</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十一、緊急電話：指火警、</w:t>
                  </w:r>
                  <w:proofErr w:type="gramStart"/>
                  <w:r w:rsidRPr="00EC4FF3">
                    <w:rPr>
                      <w:rFonts w:ascii="細明體" w:eastAsia="細明體" w:hAnsi="細明體" w:cs="細明體"/>
                      <w:color w:val="363636"/>
                      <w:kern w:val="0"/>
                      <w:szCs w:val="24"/>
                    </w:rPr>
                    <w:t>盜警及</w:t>
                  </w:r>
                  <w:proofErr w:type="gramEnd"/>
                  <w:r w:rsidRPr="00EC4FF3">
                    <w:rPr>
                      <w:rFonts w:ascii="細明體" w:eastAsia="細明體" w:hAnsi="細明體" w:cs="細明體"/>
                      <w:color w:val="363636"/>
                      <w:kern w:val="0"/>
                      <w:szCs w:val="24"/>
                    </w:rPr>
                    <w:t>其他緊急救援報案之電話。</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十二、國際海纜系統：指鋪設於海洋中之國際海底電纜及附屬設施組成之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通信系統。</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十三、國際海纜登陸站：指連接國際海纜與</w:t>
                  </w:r>
                  <w:proofErr w:type="gramStart"/>
                  <w:r w:rsidRPr="00EC4FF3">
                    <w:rPr>
                      <w:rFonts w:ascii="細明體" w:eastAsia="細明體" w:hAnsi="細明體" w:cs="細明體"/>
                      <w:color w:val="363636"/>
                      <w:kern w:val="0"/>
                      <w:szCs w:val="24"/>
                    </w:rPr>
                    <w:t>內陸鏈</w:t>
                  </w:r>
                  <w:proofErr w:type="gramEnd"/>
                  <w:r w:rsidRPr="00EC4FF3">
                    <w:rPr>
                      <w:rFonts w:ascii="細明體" w:eastAsia="細明體" w:hAnsi="細明體" w:cs="細明體"/>
                      <w:color w:val="363636"/>
                      <w:kern w:val="0"/>
                      <w:szCs w:val="24"/>
                    </w:rPr>
                    <w:t>路設施，將國際通信所</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收發之電信轉接至該海</w:t>
                  </w:r>
                  <w:proofErr w:type="gramStart"/>
                  <w:r w:rsidRPr="00EC4FF3">
                    <w:rPr>
                      <w:rFonts w:ascii="細明體" w:eastAsia="細明體" w:hAnsi="細明體" w:cs="細明體"/>
                      <w:color w:val="363636"/>
                      <w:kern w:val="0"/>
                      <w:szCs w:val="24"/>
                    </w:rPr>
                    <w:t>纜或鏈路</w:t>
                  </w:r>
                  <w:proofErr w:type="gramEnd"/>
                  <w:r w:rsidRPr="00EC4FF3">
                    <w:rPr>
                      <w:rFonts w:ascii="細明體" w:eastAsia="細明體" w:hAnsi="細明體" w:cs="細明體"/>
                      <w:color w:val="363636"/>
                      <w:kern w:val="0"/>
                      <w:szCs w:val="24"/>
                    </w:rPr>
                    <w:t>設施，對境內或境外進行傳輸之電</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信設備與附屬設施。</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十四、內陸</w:t>
                  </w:r>
                  <w:proofErr w:type="gramStart"/>
                  <w:r w:rsidRPr="00EC4FF3">
                    <w:rPr>
                      <w:rFonts w:ascii="細明體" w:eastAsia="細明體" w:hAnsi="細明體" w:cs="細明體"/>
                      <w:color w:val="363636"/>
                      <w:kern w:val="0"/>
                      <w:szCs w:val="24"/>
                    </w:rPr>
                    <w:t>介</w:t>
                  </w:r>
                  <w:proofErr w:type="gramEnd"/>
                  <w:r w:rsidRPr="00EC4FF3">
                    <w:rPr>
                      <w:rFonts w:ascii="細明體" w:eastAsia="細明體" w:hAnsi="細明體" w:cs="細明體"/>
                      <w:color w:val="363636"/>
                      <w:kern w:val="0"/>
                      <w:szCs w:val="24"/>
                    </w:rPr>
                    <w:t>接站：指設置於內陸以</w:t>
                  </w:r>
                  <w:proofErr w:type="gramStart"/>
                  <w:r w:rsidRPr="00EC4FF3">
                    <w:rPr>
                      <w:rFonts w:ascii="細明體" w:eastAsia="細明體" w:hAnsi="細明體" w:cs="細明體"/>
                      <w:color w:val="363636"/>
                      <w:kern w:val="0"/>
                      <w:szCs w:val="24"/>
                    </w:rPr>
                    <w:t>介</w:t>
                  </w:r>
                  <w:proofErr w:type="gramEnd"/>
                  <w:r w:rsidRPr="00EC4FF3">
                    <w:rPr>
                      <w:rFonts w:ascii="細明體" w:eastAsia="細明體" w:hAnsi="細明體" w:cs="細明體"/>
                      <w:color w:val="363636"/>
                      <w:kern w:val="0"/>
                      <w:szCs w:val="24"/>
                    </w:rPr>
                    <w:t>接國際海纜電路與公眾電信網路之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電信設備與附屬設施。</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十五、</w:t>
                  </w:r>
                  <w:proofErr w:type="gramStart"/>
                  <w:r w:rsidRPr="00EC4FF3">
                    <w:rPr>
                      <w:rFonts w:ascii="細明體" w:eastAsia="細明體" w:hAnsi="細明體" w:cs="細明體"/>
                      <w:color w:val="363636"/>
                      <w:kern w:val="0"/>
                      <w:szCs w:val="24"/>
                    </w:rPr>
                    <w:t>內陸鏈</w:t>
                  </w:r>
                  <w:proofErr w:type="gramEnd"/>
                  <w:r w:rsidRPr="00EC4FF3">
                    <w:rPr>
                      <w:rFonts w:ascii="細明體" w:eastAsia="細明體" w:hAnsi="細明體" w:cs="細明體"/>
                      <w:color w:val="363636"/>
                      <w:kern w:val="0"/>
                      <w:szCs w:val="24"/>
                    </w:rPr>
                    <w:t>路設施：指連接國際海纜登陸站與內陸</w:t>
                  </w:r>
                  <w:proofErr w:type="gramStart"/>
                  <w:r w:rsidRPr="00EC4FF3">
                    <w:rPr>
                      <w:rFonts w:ascii="細明體" w:eastAsia="細明體" w:hAnsi="細明體" w:cs="細明體"/>
                      <w:color w:val="363636"/>
                      <w:kern w:val="0"/>
                      <w:szCs w:val="24"/>
                    </w:rPr>
                    <w:t>介</w:t>
                  </w:r>
                  <w:proofErr w:type="gramEnd"/>
                  <w:r w:rsidRPr="00EC4FF3">
                    <w:rPr>
                      <w:rFonts w:ascii="細明體" w:eastAsia="細明體" w:hAnsi="細明體" w:cs="細明體"/>
                      <w:color w:val="363636"/>
                      <w:kern w:val="0"/>
                      <w:szCs w:val="24"/>
                    </w:rPr>
                    <w:t>接站或任</w:t>
                  </w:r>
                  <w:proofErr w:type="gramStart"/>
                  <w:r w:rsidRPr="00EC4FF3">
                    <w:rPr>
                      <w:rFonts w:ascii="細明體" w:eastAsia="細明體" w:hAnsi="細明體" w:cs="細明體"/>
                      <w:color w:val="363636"/>
                      <w:kern w:val="0"/>
                      <w:szCs w:val="24"/>
                    </w:rPr>
                    <w:t>一</w:t>
                  </w:r>
                  <w:proofErr w:type="gramEnd"/>
                  <w:r w:rsidRPr="00EC4FF3">
                    <w:rPr>
                      <w:rFonts w:ascii="細明體" w:eastAsia="細明體" w:hAnsi="細明體" w:cs="細明體"/>
                      <w:color w:val="363636"/>
                      <w:kern w:val="0"/>
                      <w:szCs w:val="24"/>
                    </w:rPr>
                    <w:t>經營者</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公眾電信網路交換設備間之高容量內陸傳輸鏈路及附屬設備。</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lastRenderedPageBreak/>
                    <w:t>第</w:t>
                  </w:r>
                  <w:r w:rsidRPr="00EC4FF3">
                    <w:rPr>
                      <w:rFonts w:ascii="Verdana" w:eastAsia="新細明體" w:hAnsi="Verdana" w:cs="新細明體"/>
                      <w:color w:val="363636"/>
                      <w:kern w:val="0"/>
                      <w:sz w:val="20"/>
                      <w:szCs w:val="20"/>
                    </w:rPr>
                    <w:t xml:space="preserve"> 3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固定通信業務之主管機關為交通部；業務之管理事項由交通部電信總局 (</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以下簡稱電信總局) 辦理之。</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4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固定通信業務之種類如下：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C4FF3">
                    <w:rPr>
                      <w:rFonts w:ascii="細明體" w:eastAsia="細明體" w:hAnsi="細明體" w:cs="細明體"/>
                      <w:color w:val="363636"/>
                      <w:kern w:val="0"/>
                      <w:szCs w:val="24"/>
                    </w:rPr>
                    <w:t>一</w:t>
                  </w:r>
                  <w:proofErr w:type="gramEnd"/>
                  <w:r w:rsidRPr="00EC4FF3">
                    <w:rPr>
                      <w:rFonts w:ascii="細明體" w:eastAsia="細明體" w:hAnsi="細明體" w:cs="細明體"/>
                      <w:color w:val="363636"/>
                      <w:kern w:val="0"/>
                      <w:szCs w:val="24"/>
                    </w:rPr>
                    <w:t xml:space="preserve">  綜合網路業務：指經營者經營市內網路業務、長途網路業務及國際網</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路業務。</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二  市內網路業務：指經營者提供使用者利用其固定通信網路，作同一市</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內通信營業區域內固定通信服務之業務及其營業區域內之電路出租業</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w:t>
                  </w:r>
                  <w:proofErr w:type="gramStart"/>
                  <w:r w:rsidRPr="00EC4FF3">
                    <w:rPr>
                      <w:rFonts w:ascii="細明體" w:eastAsia="細明體" w:hAnsi="細明體" w:cs="細明體"/>
                      <w:color w:val="363636"/>
                      <w:kern w:val="0"/>
                      <w:szCs w:val="24"/>
                    </w:rPr>
                    <w:t>務</w:t>
                  </w:r>
                  <w:proofErr w:type="gramEnd"/>
                  <w:r w:rsidRPr="00EC4FF3">
                    <w:rPr>
                      <w:rFonts w:ascii="細明體" w:eastAsia="細明體" w:hAnsi="細明體" w:cs="細明體"/>
                      <w:color w:val="363636"/>
                      <w:kern w:val="0"/>
                      <w:szCs w:val="24"/>
                    </w:rPr>
                    <w:t>。</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三  長途網路業務：指經營者提供使用者利用其固定通信網路，作國內不</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同市內通信營業區域間固定通信服務業務及其營業區域內之電路出租</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lastRenderedPageBreak/>
                    <w:t xml:space="preserve">    業務。</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四  國際網路業務：指經營者提供使用者利用其固定通信網路，作國際間</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固定通信服務之業務及其營業區域內之電路出租業務。</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五  電路出租業務：指經營者出租其所設置不具交換功能之網路傳輸機線</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設備及其附屬設備之業務。</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市內通信營業區域，由電信總局公告之。</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lastRenderedPageBreak/>
                    <w:t>第</w:t>
                  </w:r>
                  <w:r w:rsidRPr="00EC4FF3">
                    <w:rPr>
                      <w:rFonts w:ascii="Verdana" w:eastAsia="新細明體" w:hAnsi="Verdana" w:cs="新細明體"/>
                      <w:color w:val="363636"/>
                      <w:kern w:val="0"/>
                      <w:sz w:val="20"/>
                      <w:szCs w:val="20"/>
                    </w:rPr>
                    <w:t xml:space="preserve"> 4-1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申請經營電路出租業務者，其業務範圍依下列之規定：</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C4FF3">
                    <w:rPr>
                      <w:rFonts w:ascii="細明體" w:eastAsia="細明體" w:hAnsi="細明體" w:cs="細明體"/>
                      <w:color w:val="363636"/>
                      <w:kern w:val="0"/>
                      <w:szCs w:val="24"/>
                    </w:rPr>
                    <w:t>一</w:t>
                  </w:r>
                  <w:proofErr w:type="gramEnd"/>
                  <w:r w:rsidRPr="00EC4FF3">
                    <w:rPr>
                      <w:rFonts w:ascii="細明體" w:eastAsia="細明體" w:hAnsi="細明體" w:cs="細明體"/>
                      <w:color w:val="363636"/>
                      <w:kern w:val="0"/>
                      <w:szCs w:val="24"/>
                    </w:rPr>
                    <w:t xml:space="preserve">  市內、國內長途陸纜電路出租業務：指經營者出租其不具交換功能之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市內、國內長途陸纜傳輸機線設備及其附屬設備之業務。</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二  國際海纜電路出租業務：指經營者出租其不具交換功能之國際海纜傳</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w:t>
                  </w:r>
                  <w:proofErr w:type="gramStart"/>
                  <w:r w:rsidRPr="00EC4FF3">
                    <w:rPr>
                      <w:rFonts w:ascii="細明體" w:eastAsia="細明體" w:hAnsi="細明體" w:cs="細明體"/>
                      <w:color w:val="363636"/>
                      <w:kern w:val="0"/>
                      <w:szCs w:val="24"/>
                    </w:rPr>
                    <w:t>輸機線</w:t>
                  </w:r>
                  <w:proofErr w:type="gramEnd"/>
                  <w:r w:rsidRPr="00EC4FF3">
                    <w:rPr>
                      <w:rFonts w:ascii="細明體" w:eastAsia="細明體" w:hAnsi="細明體" w:cs="細明體"/>
                      <w:color w:val="363636"/>
                      <w:kern w:val="0"/>
                      <w:szCs w:val="24"/>
                    </w:rPr>
                    <w:t>設備及其附屬設備之業務。</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綜合網路業務、市內網路業務、長途網路業務或國際網路業務之經營者，</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在其營業區域內經營電路出租業務時，不適用第十二條、第十二條之</w:t>
                  </w:r>
                  <w:proofErr w:type="gramStart"/>
                  <w:r w:rsidRPr="00EC4FF3">
                    <w:rPr>
                      <w:rFonts w:ascii="細明體" w:eastAsia="細明體" w:hAnsi="細明體" w:cs="細明體"/>
                      <w:color w:val="363636"/>
                      <w:kern w:val="0"/>
                      <w:szCs w:val="24"/>
                    </w:rPr>
                    <w:t>一</w:t>
                  </w:r>
                  <w:proofErr w:type="gramEnd"/>
                  <w:r w:rsidRPr="00EC4FF3">
                    <w:rPr>
                      <w:rFonts w:ascii="細明體" w:eastAsia="細明體" w:hAnsi="細明體" w:cs="細明體"/>
                      <w:color w:val="363636"/>
                      <w:kern w:val="0"/>
                      <w:szCs w:val="24"/>
                    </w:rPr>
                    <w:t>及</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本條規定。</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4-2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市內網路業務者以其所申請經營之單一直轄市、縣 (市) 之市內網路經營</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權數，供計算市內網路業務經營者應實收之最低資本額、繳交之履行保證</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金、市內網路建設之系統容量及申請特許執照時應具有之系統容量等數值</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前項</w:t>
                  </w:r>
                  <w:proofErr w:type="gramStart"/>
                  <w:r w:rsidRPr="00EC4FF3">
                    <w:rPr>
                      <w:rFonts w:ascii="細明體" w:eastAsia="細明體" w:hAnsi="細明體" w:cs="細明體"/>
                      <w:color w:val="363636"/>
                      <w:kern w:val="0"/>
                      <w:szCs w:val="24"/>
                    </w:rPr>
                    <w:t>所稱市內</w:t>
                  </w:r>
                  <w:proofErr w:type="gramEnd"/>
                  <w:r w:rsidRPr="00EC4FF3">
                    <w:rPr>
                      <w:rFonts w:ascii="細明體" w:eastAsia="細明體" w:hAnsi="細明體" w:cs="細明體"/>
                      <w:color w:val="363636"/>
                      <w:kern w:val="0"/>
                      <w:szCs w:val="24"/>
                    </w:rPr>
                    <w:t>網路經營權數之計算，係依照內政部年度公告之各單一直轄</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市、縣 (市) 行政區域人口數除以該年度</w:t>
                  </w:r>
                  <w:proofErr w:type="gramStart"/>
                  <w:r w:rsidRPr="00EC4FF3">
                    <w:rPr>
                      <w:rFonts w:ascii="細明體" w:eastAsia="細明體" w:hAnsi="細明體" w:cs="細明體"/>
                      <w:color w:val="363636"/>
                      <w:kern w:val="0"/>
                      <w:szCs w:val="24"/>
                    </w:rPr>
                    <w:t>臺</w:t>
                  </w:r>
                  <w:proofErr w:type="gramEnd"/>
                  <w:r w:rsidRPr="00EC4FF3">
                    <w:rPr>
                      <w:rFonts w:ascii="細明體" w:eastAsia="細明體" w:hAnsi="細明體" w:cs="細明體"/>
                      <w:color w:val="363636"/>
                      <w:kern w:val="0"/>
                      <w:szCs w:val="24"/>
                    </w:rPr>
                    <w:t>閩地區總人口數計算所得之商</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值，該</w:t>
                  </w:r>
                  <w:proofErr w:type="gramStart"/>
                  <w:r w:rsidRPr="00EC4FF3">
                    <w:rPr>
                      <w:rFonts w:ascii="細明體" w:eastAsia="細明體" w:hAnsi="細明體" w:cs="細明體"/>
                      <w:color w:val="363636"/>
                      <w:kern w:val="0"/>
                      <w:szCs w:val="24"/>
                    </w:rPr>
                    <w:t>商值取至</w:t>
                  </w:r>
                  <w:proofErr w:type="gramEnd"/>
                  <w:r w:rsidRPr="00EC4FF3">
                    <w:rPr>
                      <w:rFonts w:ascii="細明體" w:eastAsia="細明體" w:hAnsi="細明體" w:cs="細明體"/>
                      <w:color w:val="363636"/>
                      <w:kern w:val="0"/>
                      <w:szCs w:val="24"/>
                    </w:rPr>
                    <w:t>小數點第四位 (以下</w:t>
                  </w:r>
                  <w:proofErr w:type="gramStart"/>
                  <w:r w:rsidRPr="00EC4FF3">
                    <w:rPr>
                      <w:rFonts w:ascii="細明體" w:eastAsia="細明體" w:hAnsi="細明體" w:cs="細明體"/>
                      <w:color w:val="363636"/>
                      <w:kern w:val="0"/>
                      <w:szCs w:val="24"/>
                    </w:rPr>
                    <w:t>採</w:t>
                  </w:r>
                  <w:proofErr w:type="gramEnd"/>
                  <w:r w:rsidRPr="00EC4FF3">
                    <w:rPr>
                      <w:rFonts w:ascii="細明體" w:eastAsia="細明體" w:hAnsi="細明體" w:cs="細明體"/>
                      <w:color w:val="363636"/>
                      <w:kern w:val="0"/>
                      <w:szCs w:val="24"/>
                    </w:rPr>
                    <w:t>無條件進位) 。</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第一項之市內網路經營權數，由電信總局每三年公告一次，並以該公告年</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度之前</w:t>
                  </w:r>
                  <w:proofErr w:type="gramStart"/>
                  <w:r w:rsidRPr="00EC4FF3">
                    <w:rPr>
                      <w:rFonts w:ascii="細明體" w:eastAsia="細明體" w:hAnsi="細明體" w:cs="細明體"/>
                      <w:color w:val="363636"/>
                      <w:kern w:val="0"/>
                      <w:szCs w:val="24"/>
                    </w:rPr>
                    <w:t>一</w:t>
                  </w:r>
                  <w:proofErr w:type="gramEnd"/>
                  <w:r w:rsidRPr="00EC4FF3">
                    <w:rPr>
                      <w:rFonts w:ascii="細明體" w:eastAsia="細明體" w:hAnsi="細明體" w:cs="細明體"/>
                      <w:color w:val="363636"/>
                      <w:kern w:val="0"/>
                      <w:szCs w:val="24"/>
                    </w:rPr>
                    <w:t>年度，內政部所公告之</w:t>
                  </w:r>
                  <w:proofErr w:type="gramStart"/>
                  <w:r w:rsidRPr="00EC4FF3">
                    <w:rPr>
                      <w:rFonts w:ascii="細明體" w:eastAsia="細明體" w:hAnsi="細明體" w:cs="細明體"/>
                      <w:color w:val="363636"/>
                      <w:kern w:val="0"/>
                      <w:szCs w:val="24"/>
                    </w:rPr>
                    <w:t>臺</w:t>
                  </w:r>
                  <w:proofErr w:type="gramEnd"/>
                  <w:r w:rsidRPr="00EC4FF3">
                    <w:rPr>
                      <w:rFonts w:ascii="細明體" w:eastAsia="細明體" w:hAnsi="細明體" w:cs="細明體"/>
                      <w:color w:val="363636"/>
                      <w:kern w:val="0"/>
                      <w:szCs w:val="24"/>
                    </w:rPr>
                    <w:t>閩地區人口數為計算基</w:t>
                  </w:r>
                  <w:r w:rsidRPr="00EC4FF3">
                    <w:rPr>
                      <w:rFonts w:ascii="細明體" w:eastAsia="細明體" w:hAnsi="細明體" w:cs="細明體"/>
                      <w:color w:val="363636"/>
                      <w:kern w:val="0"/>
                      <w:szCs w:val="24"/>
                    </w:rPr>
                    <w:lastRenderedPageBreak/>
                    <w:t>準。</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lastRenderedPageBreak/>
                    <w:t>第</w:t>
                  </w:r>
                  <w:r w:rsidRPr="00EC4FF3">
                    <w:rPr>
                      <w:rFonts w:ascii="Verdana" w:eastAsia="新細明體" w:hAnsi="Verdana" w:cs="新細明體"/>
                      <w:color w:val="363636"/>
                      <w:kern w:val="0"/>
                      <w:sz w:val="20"/>
                      <w:szCs w:val="20"/>
                    </w:rPr>
                    <w:t xml:space="preserve"> 5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經營固定通信業務者應經交通部特許並發給執照，始得營業。</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受理申請經營固定通信業務特許案件之</w:t>
                  </w:r>
                  <w:proofErr w:type="gramStart"/>
                  <w:r w:rsidRPr="00EC4FF3">
                    <w:rPr>
                      <w:rFonts w:ascii="細明體" w:eastAsia="細明體" w:hAnsi="細明體" w:cs="細明體"/>
                      <w:color w:val="363636"/>
                      <w:kern w:val="0"/>
                      <w:szCs w:val="24"/>
                    </w:rPr>
                    <w:t>起迄</w:t>
                  </w:r>
                  <w:proofErr w:type="gramEnd"/>
                  <w:r w:rsidRPr="00EC4FF3">
                    <w:rPr>
                      <w:rFonts w:ascii="細明體" w:eastAsia="細明體" w:hAnsi="細明體" w:cs="細明體"/>
                      <w:color w:val="363636"/>
                      <w:kern w:val="0"/>
                      <w:szCs w:val="24"/>
                    </w:rPr>
                    <w:t>日期，由交通部公告之。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交通部為開放固定通信業務，得設審查委員會，負責申請特許案件之審查</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固定通信業務審查作業要點，由電信總局擬訂報請交通部核定公告之。</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6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電信總局得視實際需要，分別訂定公告各類固定通信業務申請須知。</w:t>
                  </w:r>
                </w:p>
              </w:tc>
            </w:tr>
            <w:tr w:rsidR="00EC4FF3" w:rsidRPr="00EC4FF3">
              <w:trPr>
                <w:tblCellSpacing w:w="15" w:type="dxa"/>
                <w:jc w:val="center"/>
              </w:trPr>
              <w:tc>
                <w:tcPr>
                  <w:tcW w:w="0" w:type="auto"/>
                  <w:gridSpan w:val="2"/>
                  <w:vAlign w:val="center"/>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b/>
                      <w:bCs/>
                      <w:color w:val="363636"/>
                      <w:kern w:val="0"/>
                      <w:sz w:val="20"/>
                      <w:szCs w:val="20"/>
                    </w:rPr>
                    <w:t>   </w:t>
                  </w:r>
                  <w:r w:rsidRPr="00EC4FF3">
                    <w:rPr>
                      <w:rFonts w:ascii="Verdana" w:eastAsia="新細明體" w:hAnsi="Verdana" w:cs="新細明體"/>
                      <w:b/>
                      <w:bCs/>
                      <w:color w:val="363636"/>
                      <w:kern w:val="0"/>
                      <w:sz w:val="20"/>
                      <w:szCs w:val="20"/>
                    </w:rPr>
                    <w:t>第</w:t>
                  </w:r>
                  <w:r w:rsidRPr="00EC4FF3">
                    <w:rPr>
                      <w:rFonts w:ascii="Verdana" w:eastAsia="新細明體" w:hAnsi="Verdana" w:cs="新細明體"/>
                      <w:b/>
                      <w:bCs/>
                      <w:color w:val="363636"/>
                      <w:kern w:val="0"/>
                      <w:sz w:val="20"/>
                      <w:szCs w:val="20"/>
                    </w:rPr>
                    <w:t> </w:t>
                  </w:r>
                  <w:r w:rsidRPr="00EC4FF3">
                    <w:rPr>
                      <w:rFonts w:ascii="Verdana" w:eastAsia="新細明體" w:hAnsi="Verdana" w:cs="新細明體"/>
                      <w:b/>
                      <w:bCs/>
                      <w:color w:val="363636"/>
                      <w:kern w:val="0"/>
                      <w:sz w:val="20"/>
                      <w:szCs w:val="20"/>
                    </w:rPr>
                    <w:t>二</w:t>
                  </w:r>
                  <w:r w:rsidRPr="00EC4FF3">
                    <w:rPr>
                      <w:rFonts w:ascii="Verdana" w:eastAsia="新細明體" w:hAnsi="Verdana" w:cs="新細明體"/>
                      <w:b/>
                      <w:bCs/>
                      <w:color w:val="363636"/>
                      <w:kern w:val="0"/>
                      <w:sz w:val="20"/>
                      <w:szCs w:val="20"/>
                    </w:rPr>
                    <w:t> </w:t>
                  </w:r>
                  <w:r w:rsidRPr="00EC4FF3">
                    <w:rPr>
                      <w:rFonts w:ascii="Verdana" w:eastAsia="新細明體" w:hAnsi="Verdana" w:cs="新細明體"/>
                      <w:b/>
                      <w:bCs/>
                      <w:color w:val="363636"/>
                      <w:kern w:val="0"/>
                      <w:sz w:val="20"/>
                      <w:szCs w:val="20"/>
                    </w:rPr>
                    <w:t>章</w:t>
                  </w:r>
                  <w:r w:rsidRPr="00EC4FF3">
                    <w:rPr>
                      <w:rFonts w:ascii="Verdana" w:eastAsia="新細明體" w:hAnsi="Verdana" w:cs="新細明體"/>
                      <w:b/>
                      <w:bCs/>
                      <w:color w:val="363636"/>
                      <w:kern w:val="0"/>
                      <w:sz w:val="20"/>
                      <w:szCs w:val="20"/>
                    </w:rPr>
                    <w:t> </w:t>
                  </w:r>
                  <w:r w:rsidRPr="00EC4FF3">
                    <w:rPr>
                      <w:rFonts w:ascii="Verdana" w:eastAsia="新細明體" w:hAnsi="Verdana" w:cs="新細明體"/>
                      <w:b/>
                      <w:bCs/>
                      <w:color w:val="363636"/>
                      <w:kern w:val="0"/>
                      <w:sz w:val="20"/>
                      <w:szCs w:val="20"/>
                    </w:rPr>
                    <w:t>經營特許</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7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申請經營固定通信業務者，應檢具申請書、事業計畫書及其他相關文件，</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向交通部申請籌設。</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前項事業計畫書，應載明下列各款事項：</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C4FF3">
                    <w:rPr>
                      <w:rFonts w:ascii="細明體" w:eastAsia="細明體" w:hAnsi="細明體" w:cs="細明體"/>
                      <w:color w:val="363636"/>
                      <w:kern w:val="0"/>
                      <w:szCs w:val="24"/>
                    </w:rPr>
                    <w:t>一</w:t>
                  </w:r>
                  <w:proofErr w:type="gramEnd"/>
                  <w:r w:rsidRPr="00EC4FF3">
                    <w:rPr>
                      <w:rFonts w:ascii="細明體" w:eastAsia="細明體" w:hAnsi="細明體" w:cs="細明體"/>
                      <w:color w:val="363636"/>
                      <w:kern w:val="0"/>
                      <w:szCs w:val="24"/>
                    </w:rPr>
                    <w:t xml:space="preserve">  營業項目。</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二  營業區域。</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三  通訊型態。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四  電信設備概況。</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五  財務結構。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六  技術能力及發展計畫。</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七  收費標準及計算方式。</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八  人事組織。</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九  預定開始經營日期。</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一○  申請須知規定之其他事項。</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第一項各種申請籌設文件之格式及其應記載事項，於各類固定通信業務申</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請須知規定之。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申請</w:t>
                  </w:r>
                  <w:proofErr w:type="gramStart"/>
                  <w:r w:rsidRPr="00EC4FF3">
                    <w:rPr>
                      <w:rFonts w:ascii="細明體" w:eastAsia="細明體" w:hAnsi="細明體" w:cs="細明體"/>
                      <w:color w:val="363636"/>
                      <w:kern w:val="0"/>
                      <w:szCs w:val="24"/>
                    </w:rPr>
                    <w:t>籌設應具備</w:t>
                  </w:r>
                  <w:proofErr w:type="gramEnd"/>
                  <w:r w:rsidRPr="00EC4FF3">
                    <w:rPr>
                      <w:rFonts w:ascii="細明體" w:eastAsia="細明體" w:hAnsi="細明體" w:cs="細明體"/>
                      <w:color w:val="363636"/>
                      <w:kern w:val="0"/>
                      <w:szCs w:val="24"/>
                    </w:rPr>
                    <w:t>之文件不全或其記載內容不完備者，交通部應定期通知補</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正；逾期</w:t>
                  </w:r>
                  <w:proofErr w:type="gramStart"/>
                  <w:r w:rsidRPr="00EC4FF3">
                    <w:rPr>
                      <w:rFonts w:ascii="細明體" w:eastAsia="細明體" w:hAnsi="細明體" w:cs="細明體"/>
                      <w:color w:val="363636"/>
                      <w:kern w:val="0"/>
                      <w:szCs w:val="24"/>
                    </w:rPr>
                    <w:t>不</w:t>
                  </w:r>
                  <w:proofErr w:type="gramEnd"/>
                  <w:r w:rsidRPr="00EC4FF3">
                    <w:rPr>
                      <w:rFonts w:ascii="細明體" w:eastAsia="細明體" w:hAnsi="細明體" w:cs="細明體"/>
                      <w:color w:val="363636"/>
                      <w:kern w:val="0"/>
                      <w:szCs w:val="24"/>
                    </w:rPr>
                    <w:t>補正或補正而仍不完備者，不予受理。</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申請籌設逾第五條第二項公告之受理申請期限或申請人未檢具申請書或事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業計畫書者，不得補正並不予受理。</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7-1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申請經營市內網路業務者，於增加營業之直轄市、縣 (市) </w:t>
                  </w:r>
                  <w:r w:rsidRPr="00EC4FF3">
                    <w:rPr>
                      <w:rFonts w:ascii="細明體" w:eastAsia="細明體" w:hAnsi="細明體" w:cs="細明體"/>
                      <w:color w:val="363636"/>
                      <w:kern w:val="0"/>
                      <w:szCs w:val="24"/>
                    </w:rPr>
                    <w:lastRenderedPageBreak/>
                    <w:t>時，應依前條</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規定就其增加之區域提出籌設申請。</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lastRenderedPageBreak/>
                    <w:t>第</w:t>
                  </w:r>
                  <w:r w:rsidRPr="00EC4FF3">
                    <w:rPr>
                      <w:rFonts w:ascii="Verdana" w:eastAsia="新細明體" w:hAnsi="Verdana" w:cs="新細明體"/>
                      <w:color w:val="363636"/>
                      <w:kern w:val="0"/>
                      <w:sz w:val="20"/>
                      <w:szCs w:val="20"/>
                    </w:rPr>
                    <w:t xml:space="preserve"> 8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經營固定通信業務者，其應實收之最低資本額如下：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一、綜合網路業務：新臺幣四百億元。</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二、市內網路業務：新臺幣一百二十億元乘以市內網路經營權數。</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三、長途網路業務：新臺幣二十億元。</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四、國際網路業務：新臺幣二十億元。</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五、國際海纜電路出租業務：新臺幣八億元。</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綜合網路業務申請人應依下列方式籌集前項應實收最低資本額：</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一、於申請前以申請人名義在國內銀行開立資本額專戶</w:t>
                  </w:r>
                  <w:proofErr w:type="gramStart"/>
                  <w:r w:rsidRPr="00EC4FF3">
                    <w:rPr>
                      <w:rFonts w:ascii="細明體" w:eastAsia="細明體" w:hAnsi="細明體" w:cs="細明體"/>
                      <w:color w:val="363636"/>
                      <w:kern w:val="0"/>
                      <w:szCs w:val="24"/>
                    </w:rPr>
                    <w:t>存儲新臺幣</w:t>
                  </w:r>
                  <w:proofErr w:type="gramEnd"/>
                  <w:r w:rsidRPr="00EC4FF3">
                    <w:rPr>
                      <w:rFonts w:ascii="細明體" w:eastAsia="細明體" w:hAnsi="細明體" w:cs="細明體"/>
                      <w:color w:val="363636"/>
                      <w:kern w:val="0"/>
                      <w:szCs w:val="24"/>
                    </w:rPr>
                    <w:t>一百億</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元之金額，並於申請時提出存款契約書副本證明及由專戶存儲銀行出</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具書面文件確認之。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二、於第十六條第一項所定期間內，在前款資本額專戶再</w:t>
                  </w:r>
                  <w:proofErr w:type="gramStart"/>
                  <w:r w:rsidRPr="00EC4FF3">
                    <w:rPr>
                      <w:rFonts w:ascii="細明體" w:eastAsia="細明體" w:hAnsi="細明體" w:cs="細明體"/>
                      <w:color w:val="363636"/>
                      <w:kern w:val="0"/>
                      <w:szCs w:val="24"/>
                    </w:rPr>
                    <w:t>存儲新臺幣</w:t>
                  </w:r>
                  <w:proofErr w:type="gramEnd"/>
                  <w:r w:rsidRPr="00EC4FF3">
                    <w:rPr>
                      <w:rFonts w:ascii="細明體" w:eastAsia="細明體" w:hAnsi="細明體" w:cs="細明體"/>
                      <w:color w:val="363636"/>
                      <w:kern w:val="0"/>
                      <w:szCs w:val="24"/>
                    </w:rPr>
                    <w:t>一百</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億元之金額，並提出存款契約書副本證明及由專戶存儲銀行出具書面</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文件確認之。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三、於第十八條第一項所定期間內，應實收第一項所定最低資本額之全部</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金額，並提出公司登記證明文件證明之。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前項第一款及第二款存儲金額，得以新臺幣、等值外幣或其組合計算之；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其以外幣</w:t>
                  </w:r>
                  <w:proofErr w:type="gramStart"/>
                  <w:r w:rsidRPr="00EC4FF3">
                    <w:rPr>
                      <w:rFonts w:ascii="細明體" w:eastAsia="細明體" w:hAnsi="細明體" w:cs="細明體"/>
                      <w:color w:val="363636"/>
                      <w:kern w:val="0"/>
                      <w:szCs w:val="24"/>
                    </w:rPr>
                    <w:t>存儲者</w:t>
                  </w:r>
                  <w:proofErr w:type="gramEnd"/>
                  <w:r w:rsidRPr="00EC4FF3">
                    <w:rPr>
                      <w:rFonts w:ascii="細明體" w:eastAsia="細明體" w:hAnsi="細明體" w:cs="細明體"/>
                      <w:color w:val="363636"/>
                      <w:kern w:val="0"/>
                      <w:szCs w:val="24"/>
                    </w:rPr>
                    <w:t>，以存款日之匯率計算新臺幣金額。</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第二項第一款及第二款之資本額專戶存儲金額，申請人於向電信總局陳報</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完成公司設立或變更登記前，不得動支。但於取得籌設同意書後，經申請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人之發起人會議或董事會議決議，購置營業上必要之固定資產及支付開辦</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費用，並經電信總局同意者，不在此限。</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第二項第一款及第二款之資本額專戶存儲金額，申請案件未獲核可時，申</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請人得於交通部不予核可之處分送達後自行處理。</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民國九十三年六月三十日後申請經營綜合網路業務者，其</w:t>
                  </w:r>
                  <w:r w:rsidRPr="00EC4FF3">
                    <w:rPr>
                      <w:rFonts w:ascii="細明體" w:eastAsia="細明體" w:hAnsi="細明體" w:cs="細明體"/>
                      <w:color w:val="363636"/>
                      <w:kern w:val="0"/>
                      <w:szCs w:val="24"/>
                    </w:rPr>
                    <w:lastRenderedPageBreak/>
                    <w:t>應實收之最低資</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本額為新臺幣一百六十億元，不適用第一項第一款及第二項至第五項有關</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籌集最低實收資本額之規定。</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申請人同時經營其他第一類電信事業業務，如該業務有應實收最低資本額</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之限制者，應於核可籌設後分別計算其應實收最低資本額。</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lastRenderedPageBreak/>
                    <w:t>第</w:t>
                  </w:r>
                  <w:r w:rsidRPr="00EC4FF3">
                    <w:rPr>
                      <w:rFonts w:ascii="Verdana" w:eastAsia="新細明體" w:hAnsi="Verdana" w:cs="新細明體"/>
                      <w:color w:val="363636"/>
                      <w:kern w:val="0"/>
                      <w:sz w:val="20"/>
                      <w:szCs w:val="20"/>
                    </w:rPr>
                    <w:t xml:space="preserve"> 9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前條第二項所定國內銀行包括：</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C4FF3">
                    <w:rPr>
                      <w:rFonts w:ascii="細明體" w:eastAsia="細明體" w:hAnsi="細明體" w:cs="細明體"/>
                      <w:color w:val="363636"/>
                      <w:kern w:val="0"/>
                      <w:szCs w:val="24"/>
                    </w:rPr>
                    <w:t>一</w:t>
                  </w:r>
                  <w:proofErr w:type="gramEnd"/>
                  <w:r w:rsidRPr="00EC4FF3">
                    <w:rPr>
                      <w:rFonts w:ascii="細明體" w:eastAsia="細明體" w:hAnsi="細明體" w:cs="細明體"/>
                      <w:color w:val="363636"/>
                      <w:kern w:val="0"/>
                      <w:szCs w:val="24"/>
                    </w:rPr>
                    <w:t xml:space="preserve">  依銀行法規定設立之本國銀行。</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二  銀行法第一百十六條所稱之外國銀行。</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前條第二項之存款契約，應由申請人與專戶存儲銀行約定下列條款：</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C4FF3">
                    <w:rPr>
                      <w:rFonts w:ascii="細明體" w:eastAsia="細明體" w:hAnsi="細明體" w:cs="細明體"/>
                      <w:color w:val="363636"/>
                      <w:kern w:val="0"/>
                      <w:szCs w:val="24"/>
                    </w:rPr>
                    <w:t>一</w:t>
                  </w:r>
                  <w:proofErr w:type="gramEnd"/>
                  <w:r w:rsidRPr="00EC4FF3">
                    <w:rPr>
                      <w:rFonts w:ascii="細明體" w:eastAsia="細明體" w:hAnsi="細明體" w:cs="細明體"/>
                      <w:color w:val="363636"/>
                      <w:kern w:val="0"/>
                      <w:szCs w:val="24"/>
                    </w:rPr>
                    <w:t xml:space="preserve">  於申請人依規定得動支或自行處理資本額專戶存款前，不得提前解除</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或終止存款契約，或辦理質借。</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二  於申請人依規定得動支或自行處理資本額專戶存款前，專戶存儲銀行</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不得行使抵銷權。</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三  申請人動支或自行處理資本額專戶存款時，須提出下列文件之一，專</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戶存儲銀行始得同意之：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w:t>
                  </w:r>
                  <w:proofErr w:type="gramStart"/>
                  <w:r w:rsidRPr="00EC4FF3">
                    <w:rPr>
                      <w:rFonts w:ascii="細明體" w:eastAsia="細明體" w:hAnsi="細明體" w:cs="細明體"/>
                      <w:color w:val="363636"/>
                      <w:kern w:val="0"/>
                      <w:szCs w:val="24"/>
                    </w:rPr>
                    <w:t>一</w:t>
                  </w:r>
                  <w:proofErr w:type="gramEnd"/>
                  <w:r w:rsidRPr="00EC4FF3">
                    <w:rPr>
                      <w:rFonts w:ascii="細明體" w:eastAsia="細明體" w:hAnsi="細明體" w:cs="細明體"/>
                      <w:color w:val="363636"/>
                      <w:kern w:val="0"/>
                      <w:szCs w:val="24"/>
                    </w:rPr>
                    <w:t>) 交通部或電信總局核備申請人陳報完成公司設立或變更登記及同意</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申請人動支資本額專戶存款之公文。</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(二) 交通部或電信總局駁回申請人之申請案之公文。</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(三) 其他交通部或電信總局同意申請人動支或自行處理資本額專戶存款</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之公文。</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10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申請經營固定通信業務者，以已依公司法設立之股份有限公司者為限，其</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董事長應具有中華民國國籍，並應符合電信法第十二條第三項後段有關外</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國人持有股份總數之限制。</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11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同一申請人不得申請經營二件以上之同一種類固定通信業務；相同股東或</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認股人持有不同申請人之股份達各該申請人資本股份總</w:t>
                  </w:r>
                  <w:r w:rsidRPr="00EC4FF3">
                    <w:rPr>
                      <w:rFonts w:ascii="細明體" w:eastAsia="細明體" w:hAnsi="細明體" w:cs="細明體"/>
                      <w:color w:val="363636"/>
                      <w:kern w:val="0"/>
                      <w:szCs w:val="24"/>
                    </w:rPr>
                    <w:lastRenderedPageBreak/>
                    <w:t>數百分之五十以上</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者，各該不同申請人視為同一申請人。</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申請人之</w:t>
                  </w:r>
                  <w:proofErr w:type="gramStart"/>
                  <w:r w:rsidRPr="00EC4FF3">
                    <w:rPr>
                      <w:rFonts w:ascii="細明體" w:eastAsia="細明體" w:hAnsi="細明體" w:cs="細明體"/>
                      <w:color w:val="363636"/>
                      <w:kern w:val="0"/>
                      <w:szCs w:val="24"/>
                    </w:rPr>
                    <w:t>一</w:t>
                  </w:r>
                  <w:proofErr w:type="gramEnd"/>
                  <w:r w:rsidRPr="00EC4FF3">
                    <w:rPr>
                      <w:rFonts w:ascii="細明體" w:eastAsia="細明體" w:hAnsi="細明體" w:cs="細明體"/>
                      <w:color w:val="363636"/>
                      <w:kern w:val="0"/>
                      <w:szCs w:val="24"/>
                    </w:rPr>
                    <w:t>股東或認股人同時持有同一種類固定通信業務之他申請人之股</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份，該股東或認股人除於其中</w:t>
                  </w:r>
                  <w:proofErr w:type="gramStart"/>
                  <w:r w:rsidRPr="00EC4FF3">
                    <w:rPr>
                      <w:rFonts w:ascii="細明體" w:eastAsia="細明體" w:hAnsi="細明體" w:cs="細明體"/>
                      <w:color w:val="363636"/>
                      <w:kern w:val="0"/>
                      <w:szCs w:val="24"/>
                    </w:rPr>
                    <w:t>一</w:t>
                  </w:r>
                  <w:proofErr w:type="gramEnd"/>
                  <w:r w:rsidRPr="00EC4FF3">
                    <w:rPr>
                      <w:rFonts w:ascii="細明體" w:eastAsia="細明體" w:hAnsi="細明體" w:cs="細明體"/>
                      <w:color w:val="363636"/>
                      <w:kern w:val="0"/>
                      <w:szCs w:val="24"/>
                    </w:rPr>
                    <w:t>申請人之持有股份比例不受限制外，於其</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餘申請人之持有股份比例，均不得超過百分之十。</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申請人違反第一項規定者，其申請案件均不得補正，並不予受理。</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申請人違反第二項規定者，由交通部通知限期補正，逾期</w:t>
                  </w:r>
                  <w:proofErr w:type="gramStart"/>
                  <w:r w:rsidRPr="00EC4FF3">
                    <w:rPr>
                      <w:rFonts w:ascii="細明體" w:eastAsia="細明體" w:hAnsi="細明體" w:cs="細明體"/>
                      <w:color w:val="363636"/>
                      <w:kern w:val="0"/>
                      <w:szCs w:val="24"/>
                    </w:rPr>
                    <w:t>不</w:t>
                  </w:r>
                  <w:proofErr w:type="gramEnd"/>
                  <w:r w:rsidRPr="00EC4FF3">
                    <w:rPr>
                      <w:rFonts w:ascii="細明體" w:eastAsia="細明體" w:hAnsi="細明體" w:cs="細明體"/>
                      <w:color w:val="363636"/>
                      <w:kern w:val="0"/>
                      <w:szCs w:val="24"/>
                    </w:rPr>
                    <w:t>補正或補正仍</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不完備者，不予受理。</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本條規定，於申請經營電路出租業務者或不同直轄市、縣 (市) 之市內網</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路業務者，不適用之。</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lastRenderedPageBreak/>
                    <w:t>第</w:t>
                  </w:r>
                  <w:r w:rsidRPr="00EC4FF3">
                    <w:rPr>
                      <w:rFonts w:ascii="Verdana" w:eastAsia="新細明體" w:hAnsi="Verdana" w:cs="新細明體"/>
                      <w:color w:val="363636"/>
                      <w:kern w:val="0"/>
                      <w:sz w:val="20"/>
                      <w:szCs w:val="20"/>
                    </w:rPr>
                    <w:t xml:space="preserve"> 12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具下列資格之</w:t>
                  </w:r>
                  <w:proofErr w:type="gramStart"/>
                  <w:r w:rsidRPr="00EC4FF3">
                    <w:rPr>
                      <w:rFonts w:ascii="細明體" w:eastAsia="細明體" w:hAnsi="細明體" w:cs="細明體"/>
                      <w:color w:val="363636"/>
                      <w:kern w:val="0"/>
                      <w:szCs w:val="24"/>
                    </w:rPr>
                    <w:t>一</w:t>
                  </w:r>
                  <w:proofErr w:type="gramEnd"/>
                  <w:r w:rsidRPr="00EC4FF3">
                    <w:rPr>
                      <w:rFonts w:ascii="細明體" w:eastAsia="細明體" w:hAnsi="細明體" w:cs="細明體"/>
                      <w:color w:val="363636"/>
                      <w:kern w:val="0"/>
                      <w:szCs w:val="24"/>
                    </w:rPr>
                    <w:t>者，得申請經營市內、國內長途陸纜電路出租業務：</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一、已依法設置有線傳輸網路且其組織為股份有限公司之公用事業。</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二、取得公用事業授權使用其依法設置有線傳輸網路之股份有限公司。</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前項所稱公用事業係指下列事業：</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一、電力事業。</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二、大眾運輸業。</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三、石油業。</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四、自來水事業。</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五、天然氣事業。</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六、有線廣播電視系統經營者。</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七、其他經交通部認定為公用事業者。</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申請市內、國內長途陸纜電路出租業務者，應於</w:t>
                  </w:r>
                  <w:proofErr w:type="gramStart"/>
                  <w:r w:rsidRPr="00EC4FF3">
                    <w:rPr>
                      <w:rFonts w:ascii="細明體" w:eastAsia="細明體" w:hAnsi="細明體" w:cs="細明體"/>
                      <w:color w:val="363636"/>
                      <w:kern w:val="0"/>
                      <w:szCs w:val="24"/>
                    </w:rPr>
                    <w:t>申請時敘明</w:t>
                  </w:r>
                  <w:proofErr w:type="gramEnd"/>
                  <w:r w:rsidRPr="00EC4FF3">
                    <w:rPr>
                      <w:rFonts w:ascii="細明體" w:eastAsia="細明體" w:hAnsi="細明體" w:cs="細明體"/>
                      <w:color w:val="363636"/>
                      <w:kern w:val="0"/>
                      <w:szCs w:val="24"/>
                    </w:rPr>
                    <w:t>已設置有線傳</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輸網路之實際</w:t>
                  </w:r>
                  <w:proofErr w:type="gramStart"/>
                  <w:r w:rsidRPr="00EC4FF3">
                    <w:rPr>
                      <w:rFonts w:ascii="細明體" w:eastAsia="細明體" w:hAnsi="細明體" w:cs="細明體"/>
                      <w:color w:val="363636"/>
                      <w:kern w:val="0"/>
                      <w:szCs w:val="24"/>
                    </w:rPr>
                    <w:t>佈</w:t>
                  </w:r>
                  <w:proofErr w:type="gramEnd"/>
                  <w:r w:rsidRPr="00EC4FF3">
                    <w:rPr>
                      <w:rFonts w:ascii="細明體" w:eastAsia="細明體" w:hAnsi="細明體" w:cs="細明體"/>
                      <w:color w:val="363636"/>
                      <w:kern w:val="0"/>
                      <w:szCs w:val="24"/>
                    </w:rPr>
                    <w:t>設線路明細、既有傳輸網路分割計畫、傳輸設備及網路架</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構圖。但前項第一款至第五款之公用事業出租之網路傳輸機線設備無專用</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電信之使用部分時，得免提出既有傳輸網路分割計畫。</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前項既有傳輸網路分割計畫涉及專用電信之變更者，應依專用電信設置使</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lastRenderedPageBreak/>
                    <w:t>用及連接公共通信系統管理辦法規定辦理。</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市內、國內長途陸纜電路出租業務經營者出租之傳輸設備，應符合電信總</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局所定技術規範。</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以第一項第二款之資格經營市內、國內長途陸纜電路出租業務者，其出租</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範圍以其合法使用之有線傳輸網路為限；違反者，由電信總局限期改正，</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逾期不改正者，依電信法相關規定處罰。</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lastRenderedPageBreak/>
                    <w:t>第</w:t>
                  </w:r>
                  <w:r w:rsidRPr="00EC4FF3">
                    <w:rPr>
                      <w:rFonts w:ascii="Verdana" w:eastAsia="新細明體" w:hAnsi="Verdana" w:cs="新細明體"/>
                      <w:color w:val="363636"/>
                      <w:kern w:val="0"/>
                      <w:sz w:val="20"/>
                      <w:szCs w:val="20"/>
                    </w:rPr>
                    <w:t xml:space="preserve"> 12-1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申請經營國際海纜電路出租業務者，應於申請時取得國際海纜系統擁有者</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或管理者同意得連接及使用其國際海纜系統之授權，且其授權使用之全電</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C4FF3">
                    <w:rPr>
                      <w:rFonts w:ascii="細明體" w:eastAsia="細明體" w:hAnsi="細明體" w:cs="細明體"/>
                      <w:color w:val="363636"/>
                      <w:kern w:val="0"/>
                      <w:szCs w:val="24"/>
                    </w:rPr>
                    <w:t>路頻寬</w:t>
                  </w:r>
                  <w:proofErr w:type="gramEnd"/>
                  <w:r w:rsidRPr="00EC4FF3">
                    <w:rPr>
                      <w:rFonts w:ascii="細明體" w:eastAsia="細明體" w:hAnsi="細明體" w:cs="細明體"/>
                      <w:color w:val="363636"/>
                      <w:kern w:val="0"/>
                      <w:szCs w:val="24"/>
                    </w:rPr>
                    <w:t>至少應為 5Gbps。</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前項國際海纜系統以民國八十九年三月一日後完成建設者為限。</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申請經營國際海纜電路出租業務者，應於網路建設許可證有效期間內建設</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登陸我國之國際海纜電路及國際海纜登陸站，其登陸路線之劃定許可應依</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在中華民國大陸礁層鋪設維護變更海底電纜或管道之路線劃定許可辦法相</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關規定辦理。</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國際海纜電路出租業務經營者設置之內陸</w:t>
                  </w:r>
                  <w:proofErr w:type="gramStart"/>
                  <w:r w:rsidRPr="00EC4FF3">
                    <w:rPr>
                      <w:rFonts w:ascii="細明體" w:eastAsia="細明體" w:hAnsi="細明體" w:cs="細明體"/>
                      <w:color w:val="363636"/>
                      <w:kern w:val="0"/>
                      <w:szCs w:val="24"/>
                    </w:rPr>
                    <w:t>介</w:t>
                  </w:r>
                  <w:proofErr w:type="gramEnd"/>
                  <w:r w:rsidRPr="00EC4FF3">
                    <w:rPr>
                      <w:rFonts w:ascii="細明體" w:eastAsia="細明體" w:hAnsi="細明體" w:cs="細明體"/>
                      <w:color w:val="363636"/>
                      <w:kern w:val="0"/>
                      <w:szCs w:val="24"/>
                    </w:rPr>
                    <w:t>接站，除設置於國際海纜登陸</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站同一處所者外，對應每一國際海纜登陸站以設置一站為限。</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國際海纜電路出租業務經營者連接海纜登陸站與內陸</w:t>
                  </w:r>
                  <w:proofErr w:type="gramStart"/>
                  <w:r w:rsidRPr="00EC4FF3">
                    <w:rPr>
                      <w:rFonts w:ascii="細明體" w:eastAsia="細明體" w:hAnsi="細明體" w:cs="細明體"/>
                      <w:color w:val="363636"/>
                      <w:kern w:val="0"/>
                      <w:szCs w:val="24"/>
                    </w:rPr>
                    <w:t>介</w:t>
                  </w:r>
                  <w:proofErr w:type="gramEnd"/>
                  <w:r w:rsidRPr="00EC4FF3">
                    <w:rPr>
                      <w:rFonts w:ascii="細明體" w:eastAsia="細明體" w:hAnsi="細明體" w:cs="細明體"/>
                      <w:color w:val="363636"/>
                      <w:kern w:val="0"/>
                      <w:szCs w:val="24"/>
                    </w:rPr>
                    <w:t>接站之內陸傳輸鏈</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路，得自行建設或向綜合網路業務或市內、國內長途陸纜電路出租業務經</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營者租用。</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國際海纜電路出租業務經營者不得利用內陸傳輸鏈路經營國際海纜電路出</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租業務以外之業務。</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13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申請經營固定通信業務之案件，有下列情形之</w:t>
                  </w:r>
                  <w:proofErr w:type="gramStart"/>
                  <w:r w:rsidRPr="00EC4FF3">
                    <w:rPr>
                      <w:rFonts w:ascii="細明體" w:eastAsia="細明體" w:hAnsi="細明體" w:cs="細明體"/>
                      <w:color w:val="363636"/>
                      <w:kern w:val="0"/>
                      <w:szCs w:val="24"/>
                    </w:rPr>
                    <w:t>一</w:t>
                  </w:r>
                  <w:proofErr w:type="gramEnd"/>
                  <w:r w:rsidRPr="00EC4FF3">
                    <w:rPr>
                      <w:rFonts w:ascii="細明體" w:eastAsia="細明體" w:hAnsi="細明體" w:cs="細明體"/>
                      <w:color w:val="363636"/>
                      <w:kern w:val="0"/>
                      <w:szCs w:val="24"/>
                    </w:rPr>
                    <w:t>者，由交通部通知限期補</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lastRenderedPageBreak/>
                    <w:t>正，逾期</w:t>
                  </w:r>
                  <w:proofErr w:type="gramStart"/>
                  <w:r w:rsidRPr="00EC4FF3">
                    <w:rPr>
                      <w:rFonts w:ascii="細明體" w:eastAsia="細明體" w:hAnsi="細明體" w:cs="細明體"/>
                      <w:color w:val="363636"/>
                      <w:kern w:val="0"/>
                      <w:szCs w:val="24"/>
                    </w:rPr>
                    <w:t>不</w:t>
                  </w:r>
                  <w:proofErr w:type="gramEnd"/>
                  <w:r w:rsidRPr="00EC4FF3">
                    <w:rPr>
                      <w:rFonts w:ascii="細明體" w:eastAsia="細明體" w:hAnsi="細明體" w:cs="細明體"/>
                      <w:color w:val="363636"/>
                      <w:kern w:val="0"/>
                      <w:szCs w:val="24"/>
                    </w:rPr>
                    <w:t>補正或補正仍不完備者，不予受理：</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一、未依規定繳交審查費者。</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二、違反第八條規定者。</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三、違反第九條規定者。</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四、違反第十條規定者。</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五、違反第十二條第一項規定者。</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六、違反第十二條之一第一項及第二項規定者。</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申請人於經核可籌設後，有前項第二款及第三款所定情事者，廢止其核可</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lastRenderedPageBreak/>
                    <w:t>第</w:t>
                  </w:r>
                  <w:r w:rsidRPr="00EC4FF3">
                    <w:rPr>
                      <w:rFonts w:ascii="Verdana" w:eastAsia="新細明體" w:hAnsi="Verdana" w:cs="新細明體"/>
                      <w:color w:val="363636"/>
                      <w:kern w:val="0"/>
                      <w:sz w:val="20"/>
                      <w:szCs w:val="20"/>
                    </w:rPr>
                    <w:t xml:space="preserve"> 14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申請特許案件之審查，除本</w:t>
                  </w:r>
                  <w:proofErr w:type="gramStart"/>
                  <w:r w:rsidRPr="00EC4FF3">
                    <w:rPr>
                      <w:rFonts w:ascii="細明體" w:eastAsia="細明體" w:hAnsi="細明體" w:cs="細明體"/>
                      <w:color w:val="363636"/>
                      <w:kern w:val="0"/>
                      <w:szCs w:val="24"/>
                    </w:rPr>
                    <w:t>規則另</w:t>
                  </w:r>
                  <w:proofErr w:type="gramEnd"/>
                  <w:r w:rsidRPr="00EC4FF3">
                    <w:rPr>
                      <w:rFonts w:ascii="細明體" w:eastAsia="細明體" w:hAnsi="細明體" w:cs="細明體"/>
                      <w:color w:val="363636"/>
                      <w:kern w:val="0"/>
                      <w:szCs w:val="24"/>
                    </w:rPr>
                    <w:t>有規定外，以事業計畫書所載事項為原</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則，其審查項目及標準，交通部得視業務種類分別訂定公告之。</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15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申請特許案件經審查核可後，由交通部公告之。除依第十二條申請經營市</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內、國內長途陸纜電路出租業務者，由交通部逕行發給籌設同意書外，綜</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合網路業務申請案件依第八條第二項第二款規定再</w:t>
                  </w:r>
                  <w:proofErr w:type="gramStart"/>
                  <w:r w:rsidRPr="00EC4FF3">
                    <w:rPr>
                      <w:rFonts w:ascii="細明體" w:eastAsia="細明體" w:hAnsi="細明體" w:cs="細明體"/>
                      <w:color w:val="363636"/>
                      <w:kern w:val="0"/>
                      <w:szCs w:val="24"/>
                    </w:rPr>
                    <w:t>存儲新臺幣</w:t>
                  </w:r>
                  <w:proofErr w:type="gramEnd"/>
                  <w:r w:rsidRPr="00EC4FF3">
                    <w:rPr>
                      <w:rFonts w:ascii="細明體" w:eastAsia="細明體" w:hAnsi="細明體" w:cs="細明體"/>
                      <w:color w:val="363636"/>
                      <w:kern w:val="0"/>
                      <w:szCs w:val="24"/>
                    </w:rPr>
                    <w:t>一百億元之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資本額專戶金額，及依第十六條及第十七條第一項規定繳交履行保證金後</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，由交通部發給籌設同意書。</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除本</w:t>
                  </w:r>
                  <w:proofErr w:type="gramStart"/>
                  <w:r w:rsidRPr="00EC4FF3">
                    <w:rPr>
                      <w:rFonts w:ascii="細明體" w:eastAsia="細明體" w:hAnsi="細明體" w:cs="細明體"/>
                      <w:color w:val="363636"/>
                      <w:kern w:val="0"/>
                      <w:szCs w:val="24"/>
                    </w:rPr>
                    <w:t>規則另</w:t>
                  </w:r>
                  <w:proofErr w:type="gramEnd"/>
                  <w:r w:rsidRPr="00EC4FF3">
                    <w:rPr>
                      <w:rFonts w:ascii="細明體" w:eastAsia="細明體" w:hAnsi="細明體" w:cs="細明體"/>
                      <w:color w:val="363636"/>
                      <w:kern w:val="0"/>
                      <w:szCs w:val="24"/>
                    </w:rPr>
                    <w:t>有規定外，綜合網路業務申請人未依規定再</w:t>
                  </w:r>
                  <w:proofErr w:type="gramStart"/>
                  <w:r w:rsidRPr="00EC4FF3">
                    <w:rPr>
                      <w:rFonts w:ascii="細明體" w:eastAsia="細明體" w:hAnsi="細明體" w:cs="細明體"/>
                      <w:color w:val="363636"/>
                      <w:kern w:val="0"/>
                      <w:szCs w:val="24"/>
                    </w:rPr>
                    <w:t>存儲新臺幣</w:t>
                  </w:r>
                  <w:proofErr w:type="gramEnd"/>
                  <w:r w:rsidRPr="00EC4FF3">
                    <w:rPr>
                      <w:rFonts w:ascii="細明體" w:eastAsia="細明體" w:hAnsi="細明體" w:cs="細明體"/>
                      <w:color w:val="363636"/>
                      <w:kern w:val="0"/>
                      <w:szCs w:val="24"/>
                    </w:rPr>
                    <w:t>一百億</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元之資本額專戶金額及繳交履行保證金者，交通部應廢止其核可。</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國際海纜電路出租業務、市內網路業務、長途網路業務及國際網路業務之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申請案件依第十六條及第十七條第一項規定繳交履行保證金後，由交通部</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發給籌設同意書。國際海纜電路出租業務、市內網路業務、長途網路業務</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及國際網路業務申請人未依規定繳交履行保證金者，交通部應廢止其核可</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民國九十三年六月三十日後申請經營綜合網路業務者，應</w:t>
                  </w:r>
                  <w:r w:rsidRPr="00EC4FF3">
                    <w:rPr>
                      <w:rFonts w:ascii="細明體" w:eastAsia="細明體" w:hAnsi="細明體" w:cs="細明體"/>
                      <w:color w:val="363636"/>
                      <w:kern w:val="0"/>
                      <w:szCs w:val="24"/>
                    </w:rPr>
                    <w:lastRenderedPageBreak/>
                    <w:t>依第十六條及第</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十七條第二項規定繳交履行保證金後，由交通部發給籌設同意書，不適用</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第一項後段有關繳交履行保證金及發給籌設同意書之規定。</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lastRenderedPageBreak/>
                    <w:t>第</w:t>
                  </w:r>
                  <w:r w:rsidRPr="00EC4FF3">
                    <w:rPr>
                      <w:rFonts w:ascii="Verdana" w:eastAsia="新細明體" w:hAnsi="Verdana" w:cs="新細明體"/>
                      <w:color w:val="363636"/>
                      <w:kern w:val="0"/>
                      <w:sz w:val="20"/>
                      <w:szCs w:val="20"/>
                    </w:rPr>
                    <w:t xml:space="preserve"> 16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申請特許案件經審查核可後，申請人應於交通部核可通知到達之日起，六</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十日內向電信總局繳交履行保證金。前項履行保證金應以下列方式擇</w:t>
                  </w:r>
                  <w:proofErr w:type="gramStart"/>
                  <w:r w:rsidRPr="00EC4FF3">
                    <w:rPr>
                      <w:rFonts w:ascii="細明體" w:eastAsia="細明體" w:hAnsi="細明體" w:cs="細明體"/>
                      <w:color w:val="363636"/>
                      <w:kern w:val="0"/>
                      <w:szCs w:val="24"/>
                    </w:rPr>
                    <w:t>一</w:t>
                  </w:r>
                  <w:proofErr w:type="gramEnd"/>
                  <w:r w:rsidRPr="00EC4FF3">
                    <w:rPr>
                      <w:rFonts w:ascii="細明體" w:eastAsia="細明體" w:hAnsi="細明體" w:cs="細明體"/>
                      <w:color w:val="363636"/>
                      <w:kern w:val="0"/>
                      <w:szCs w:val="24"/>
                    </w:rPr>
                    <w:t>繳</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交：</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C4FF3">
                    <w:rPr>
                      <w:rFonts w:ascii="細明體" w:eastAsia="細明體" w:hAnsi="細明體" w:cs="細明體"/>
                      <w:color w:val="363636"/>
                      <w:kern w:val="0"/>
                      <w:szCs w:val="24"/>
                    </w:rPr>
                    <w:t>一</w:t>
                  </w:r>
                  <w:proofErr w:type="gramEnd"/>
                  <w:r w:rsidRPr="00EC4FF3">
                    <w:rPr>
                      <w:rFonts w:ascii="細明體" w:eastAsia="細明體" w:hAnsi="細明體" w:cs="細明體"/>
                      <w:color w:val="363636"/>
                      <w:kern w:val="0"/>
                      <w:szCs w:val="24"/>
                    </w:rPr>
                    <w:t xml:space="preserve">  直接存入電信總局指定之帳戶。</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二  國內銀行之履行保證書。</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三  設定質權人為電信總局之可轉讓定期存款單。</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以國內銀行履行保證書繳交履行保證金者，其保證期限應自繳交履行保證</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金之日起，</w:t>
                  </w:r>
                  <w:proofErr w:type="gramStart"/>
                  <w:r w:rsidRPr="00EC4FF3">
                    <w:rPr>
                      <w:rFonts w:ascii="細明體" w:eastAsia="細明體" w:hAnsi="細明體" w:cs="細明體"/>
                      <w:color w:val="363636"/>
                      <w:kern w:val="0"/>
                      <w:szCs w:val="24"/>
                    </w:rPr>
                    <w:t>至籌設</w:t>
                  </w:r>
                  <w:proofErr w:type="gramEnd"/>
                  <w:r w:rsidRPr="00EC4FF3">
                    <w:rPr>
                      <w:rFonts w:ascii="細明體" w:eastAsia="細明體" w:hAnsi="細明體" w:cs="細明體"/>
                      <w:color w:val="363636"/>
                      <w:kern w:val="0"/>
                      <w:szCs w:val="24"/>
                    </w:rPr>
                    <w:t>同意書有效期限之末日起算三個月止。</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申請人申請</w:t>
                  </w:r>
                  <w:proofErr w:type="gramStart"/>
                  <w:r w:rsidRPr="00EC4FF3">
                    <w:rPr>
                      <w:rFonts w:ascii="細明體" w:eastAsia="細明體" w:hAnsi="細明體" w:cs="細明體"/>
                      <w:color w:val="363636"/>
                      <w:kern w:val="0"/>
                      <w:szCs w:val="24"/>
                    </w:rPr>
                    <w:t>展延籌設</w:t>
                  </w:r>
                  <w:proofErr w:type="gramEnd"/>
                  <w:r w:rsidRPr="00EC4FF3">
                    <w:rPr>
                      <w:rFonts w:ascii="細明體" w:eastAsia="細明體" w:hAnsi="細明體" w:cs="細明體"/>
                      <w:color w:val="363636"/>
                      <w:kern w:val="0"/>
                      <w:szCs w:val="24"/>
                    </w:rPr>
                    <w:t>同意書之有效期限時，應一併辦理前項履行保證期限</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之展延。</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17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各類固定通信業務申請案應繳交之履行保證金金額如下：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一、綜合網路業務：新臺幣四十億元。</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二、市內網路業務：新臺幣十二億元乘以市內網路經營權數。</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三、長途網路業務：新臺幣二億元。</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四、國際網路業務：新臺幣二億元。</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五、國際海纜電路出租業務：新臺幣八千萬元。</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民國九十三年六月三十日後申請經營綜合網路業務者，應繳交之履行保證</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金金額為新臺幣十六億元，不適用前項第一款之規定。</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18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申請人取得經營固定通信業務之籌設同意書後，應於六個月內完成公司設</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立或變更登記。其無法於期間內依法完成登記者，得於期間</w:t>
                  </w:r>
                  <w:proofErr w:type="gramStart"/>
                  <w:r w:rsidRPr="00EC4FF3">
                    <w:rPr>
                      <w:rFonts w:ascii="細明體" w:eastAsia="細明體" w:hAnsi="細明體" w:cs="細明體"/>
                      <w:color w:val="363636"/>
                      <w:kern w:val="0"/>
                      <w:szCs w:val="24"/>
                    </w:rPr>
                    <w:t>屆滿前敘明理</w:t>
                  </w:r>
                  <w:proofErr w:type="gramEnd"/>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由向交通部申請展期。展期最長不得逾六個月，並以一次為限，逾期交通</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C4FF3">
                    <w:rPr>
                      <w:rFonts w:ascii="細明體" w:eastAsia="細明體" w:hAnsi="細明體" w:cs="細明體"/>
                      <w:color w:val="363636"/>
                      <w:kern w:val="0"/>
                      <w:szCs w:val="24"/>
                    </w:rPr>
                    <w:t>部得廢止</w:t>
                  </w:r>
                  <w:proofErr w:type="gramEnd"/>
                  <w:r w:rsidRPr="00EC4FF3">
                    <w:rPr>
                      <w:rFonts w:ascii="細明體" w:eastAsia="細明體" w:hAnsi="細明體" w:cs="細明體"/>
                      <w:color w:val="363636"/>
                      <w:kern w:val="0"/>
                      <w:szCs w:val="24"/>
                    </w:rPr>
                    <w:t>其籌設同意，並不予退還履行保證金或由電信總局通知保證銀行</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lastRenderedPageBreak/>
                    <w:t>履行保證責任。</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申請人依前項規定完成公司設立或變更登記時，其實收資本額應符合第八</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條第一項及第七項之規定。</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民國九十三年六月三十日後申請經營綜合網路業務者依第一項規定完成公</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司變更登記時，其實收資本額應符合第八條第六項及第七項之規定，不適</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用前項規定。</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lastRenderedPageBreak/>
                    <w:t>第</w:t>
                  </w:r>
                  <w:r w:rsidRPr="00EC4FF3">
                    <w:rPr>
                      <w:rFonts w:ascii="Verdana" w:eastAsia="新細明體" w:hAnsi="Verdana" w:cs="新細明體"/>
                      <w:color w:val="363636"/>
                      <w:kern w:val="0"/>
                      <w:sz w:val="20"/>
                      <w:szCs w:val="20"/>
                    </w:rPr>
                    <w:t xml:space="preserve"> 19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各類固定通信業務之籌設同意書有效期間如下：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一、綜合網路業務：七年。</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二、市內網路業務：四年。</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三、長途網路業務：四年。</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四、國際網路業務：四年。</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五、市內、國內長途陸纜電路出租業務：二年。</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六、國際海纜電路出租業務：四年。</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民國九十三年六月三十日後申請經營綜合網路業務者，其籌設同意書有效</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期間為五年，不適用前項第一款之規定。</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申請人無法於前二項所定期間內完成</w:t>
                  </w:r>
                  <w:proofErr w:type="gramStart"/>
                  <w:r w:rsidRPr="00EC4FF3">
                    <w:rPr>
                      <w:rFonts w:ascii="細明體" w:eastAsia="細明體" w:hAnsi="細明體" w:cs="細明體"/>
                      <w:color w:val="363636"/>
                      <w:kern w:val="0"/>
                      <w:szCs w:val="24"/>
                    </w:rPr>
                    <w:t>籌設並依法</w:t>
                  </w:r>
                  <w:proofErr w:type="gramEnd"/>
                  <w:r w:rsidRPr="00EC4FF3">
                    <w:rPr>
                      <w:rFonts w:ascii="細明體" w:eastAsia="細明體" w:hAnsi="細明體" w:cs="細明體"/>
                      <w:color w:val="363636"/>
                      <w:kern w:val="0"/>
                      <w:szCs w:val="24"/>
                    </w:rPr>
                    <w:t>取得特許執照者，應於期</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間</w:t>
                  </w:r>
                  <w:proofErr w:type="gramStart"/>
                  <w:r w:rsidRPr="00EC4FF3">
                    <w:rPr>
                      <w:rFonts w:ascii="細明體" w:eastAsia="細明體" w:hAnsi="細明體" w:cs="細明體"/>
                      <w:color w:val="363636"/>
                      <w:kern w:val="0"/>
                      <w:szCs w:val="24"/>
                    </w:rPr>
                    <w:t>屆滿前附具</w:t>
                  </w:r>
                  <w:proofErr w:type="gramEnd"/>
                  <w:r w:rsidRPr="00EC4FF3">
                    <w:rPr>
                      <w:rFonts w:ascii="細明體" w:eastAsia="細明體" w:hAnsi="細明體" w:cs="細明體"/>
                      <w:color w:val="363636"/>
                      <w:kern w:val="0"/>
                      <w:szCs w:val="24"/>
                    </w:rPr>
                    <w:t>理由向交通部申請展期。展期最長不得逾一年，並以一次為</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限，逾期交通部應廢止其籌設同意，並不予退還履行保證金或由電信總局</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通知保證銀行履行保證責任。</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20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申請人應於取得籌設同意書及完成公司設立或變更登記後檢具有關業務申</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請須知規定之文件，向電信總局申請網路建設許可證。</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各類固定通信業務之網路建設許可證有效期間如下：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一、綜合網路業務：六年。</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二、市內網路業務：三年。</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三、長途網路業務：三年。</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四、國際網路業務：三年。</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五、國際海纜電路出租業務：三年。</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民國九十三年六月三十日後申請經營綜合網路業務之網路建設許可證有效</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lastRenderedPageBreak/>
                    <w:t>期間為四年，不適用前項第一款之規定。</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各類固定通信業務之網路建設許可證有效</w:t>
                  </w:r>
                  <w:proofErr w:type="gramStart"/>
                  <w:r w:rsidRPr="00EC4FF3">
                    <w:rPr>
                      <w:rFonts w:ascii="細明體" w:eastAsia="細明體" w:hAnsi="細明體" w:cs="細明體"/>
                      <w:color w:val="363636"/>
                      <w:kern w:val="0"/>
                      <w:szCs w:val="24"/>
                    </w:rPr>
                    <w:t>期間，</w:t>
                  </w:r>
                  <w:proofErr w:type="gramEnd"/>
                  <w:r w:rsidRPr="00EC4FF3">
                    <w:rPr>
                      <w:rFonts w:ascii="細明體" w:eastAsia="細明體" w:hAnsi="細明體" w:cs="細明體"/>
                      <w:color w:val="363636"/>
                      <w:kern w:val="0"/>
                      <w:szCs w:val="24"/>
                    </w:rPr>
                    <w:t>不得超過籌設同意書之有</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效期間；其涉及原事業計畫書變更者，應依第三十二條第三項規定辦理。</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申請人建設事業計畫書所定網路建設許可證有效期間之建設計畫以外之後</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續網路，應檢具詳細網路建設計畫，向電信總局申請許可。</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未依規定請領網路建設許可證或經許可者，不得建設固定通信網路設備之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一部或全部。</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綜合網路業務申請人有建設微波鏈路或固定無線接取設備之需要者，得依</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C4FF3">
                    <w:rPr>
                      <w:rFonts w:ascii="細明體" w:eastAsia="細明體" w:hAnsi="細明體" w:cs="細明體"/>
                      <w:color w:val="363636"/>
                      <w:kern w:val="0"/>
                      <w:szCs w:val="24"/>
                    </w:rPr>
                    <w:t>規</w:t>
                  </w:r>
                  <w:proofErr w:type="gramEnd"/>
                  <w:r w:rsidRPr="00EC4FF3">
                    <w:rPr>
                      <w:rFonts w:ascii="細明體" w:eastAsia="細明體" w:hAnsi="細明體" w:cs="細明體"/>
                      <w:color w:val="363636"/>
                      <w:kern w:val="0"/>
                      <w:szCs w:val="24"/>
                    </w:rPr>
                    <w:t>定向電信總局申請許可。</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lastRenderedPageBreak/>
                    <w:t>第</w:t>
                  </w:r>
                  <w:r w:rsidRPr="00EC4FF3">
                    <w:rPr>
                      <w:rFonts w:ascii="Verdana" w:eastAsia="新細明體" w:hAnsi="Verdana" w:cs="新細明體"/>
                      <w:color w:val="363636"/>
                      <w:kern w:val="0"/>
                      <w:sz w:val="20"/>
                      <w:szCs w:val="20"/>
                    </w:rPr>
                    <w:t xml:space="preserve"> 21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申請人取得網路建設許可證後，應依其事業計畫書所定網路建設許可證有</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效期間之建設計畫建設網路。其無法於網路建設許可證有效期間內建設完</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成者，應於期間</w:t>
                  </w:r>
                  <w:proofErr w:type="gramStart"/>
                  <w:r w:rsidRPr="00EC4FF3">
                    <w:rPr>
                      <w:rFonts w:ascii="細明體" w:eastAsia="細明體" w:hAnsi="細明體" w:cs="細明體"/>
                      <w:color w:val="363636"/>
                      <w:kern w:val="0"/>
                      <w:szCs w:val="24"/>
                    </w:rPr>
                    <w:t>屆滿前敘明理</w:t>
                  </w:r>
                  <w:proofErr w:type="gramEnd"/>
                  <w:r w:rsidRPr="00EC4FF3">
                    <w:rPr>
                      <w:rFonts w:ascii="細明體" w:eastAsia="細明體" w:hAnsi="細明體" w:cs="細明體"/>
                      <w:color w:val="363636"/>
                      <w:kern w:val="0"/>
                      <w:szCs w:val="24"/>
                    </w:rPr>
                    <w:t>由向電信總局申請展延。展期最長不得逾</w:t>
                  </w:r>
                  <w:proofErr w:type="gramStart"/>
                  <w:r w:rsidRPr="00EC4FF3">
                    <w:rPr>
                      <w:rFonts w:ascii="細明體" w:eastAsia="細明體" w:hAnsi="細明體" w:cs="細明體"/>
                      <w:color w:val="363636"/>
                      <w:kern w:val="0"/>
                      <w:szCs w:val="24"/>
                    </w:rPr>
                    <w:t>一</w:t>
                  </w:r>
                  <w:proofErr w:type="gramEnd"/>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年，並以一次為限，逾期交通部得廢止其籌設同意，並不予退還履行保證</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金或由電信總局通知保證銀行履行保證責任，已取得執照者，得廢止其特</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許。</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因不可抗力事故申請</w:t>
                  </w:r>
                  <w:proofErr w:type="gramStart"/>
                  <w:r w:rsidRPr="00EC4FF3">
                    <w:rPr>
                      <w:rFonts w:ascii="細明體" w:eastAsia="細明體" w:hAnsi="細明體" w:cs="細明體"/>
                      <w:color w:val="363636"/>
                      <w:kern w:val="0"/>
                      <w:szCs w:val="24"/>
                    </w:rPr>
                    <w:t>展延者</w:t>
                  </w:r>
                  <w:proofErr w:type="gramEnd"/>
                  <w:r w:rsidRPr="00EC4FF3">
                    <w:rPr>
                      <w:rFonts w:ascii="細明體" w:eastAsia="細明體" w:hAnsi="細明體" w:cs="細明體"/>
                      <w:color w:val="363636"/>
                      <w:kern w:val="0"/>
                      <w:szCs w:val="24"/>
                    </w:rPr>
                    <w:t>，得按事故遲延期間申請展延，不受前項所定</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展期限制。</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前二項網路建設許可證展期超過籌設同意書有效期間時，應一併辦理籌設</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同意書有效期間之展延。</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22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申請經營綜合網路業務者，於網路建設許可證有效期間內，應自行建設之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市內網路不得少於可提供一百萬用戶門號或用戶通信埠 (port) 或用戶門</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號及用戶通信</w:t>
                  </w:r>
                  <w:proofErr w:type="gramStart"/>
                  <w:r w:rsidRPr="00EC4FF3">
                    <w:rPr>
                      <w:rFonts w:ascii="細明體" w:eastAsia="細明體" w:hAnsi="細明體" w:cs="細明體"/>
                      <w:color w:val="363636"/>
                      <w:kern w:val="0"/>
                      <w:szCs w:val="24"/>
                    </w:rPr>
                    <w:t>埠</w:t>
                  </w:r>
                  <w:proofErr w:type="gramEnd"/>
                  <w:r w:rsidRPr="00EC4FF3">
                    <w:rPr>
                      <w:rFonts w:ascii="細明體" w:eastAsia="細明體" w:hAnsi="細明體" w:cs="細明體"/>
                      <w:color w:val="363636"/>
                      <w:kern w:val="0"/>
                      <w:szCs w:val="24"/>
                    </w:rPr>
                    <w:t>組合之系統容量。</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民國九十三年六月三十日後申請經營綜合網路業務者，於</w:t>
                  </w:r>
                  <w:r w:rsidRPr="00EC4FF3">
                    <w:rPr>
                      <w:rFonts w:ascii="細明體" w:eastAsia="細明體" w:hAnsi="細明體" w:cs="細明體"/>
                      <w:color w:val="363636"/>
                      <w:kern w:val="0"/>
                      <w:szCs w:val="24"/>
                    </w:rPr>
                    <w:lastRenderedPageBreak/>
                    <w:t>網路建設許可證</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有效期間內，應自行建設之市內網路不得少於可提供四十萬用戶門號或用</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戶通信埠 (port) 或用戶門號及用戶通信</w:t>
                  </w:r>
                  <w:proofErr w:type="gramStart"/>
                  <w:r w:rsidRPr="00EC4FF3">
                    <w:rPr>
                      <w:rFonts w:ascii="細明體" w:eastAsia="細明體" w:hAnsi="細明體" w:cs="細明體"/>
                      <w:color w:val="363636"/>
                      <w:kern w:val="0"/>
                      <w:szCs w:val="24"/>
                    </w:rPr>
                    <w:t>埠</w:t>
                  </w:r>
                  <w:proofErr w:type="gramEnd"/>
                  <w:r w:rsidRPr="00EC4FF3">
                    <w:rPr>
                      <w:rFonts w:ascii="細明體" w:eastAsia="細明體" w:hAnsi="細明體" w:cs="細明體"/>
                      <w:color w:val="363636"/>
                      <w:kern w:val="0"/>
                      <w:szCs w:val="24"/>
                    </w:rPr>
                    <w:t>組合之系統容量，不適用前項</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之規定。</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前二項門號及通信埠之建設，應包括交換設備及連接用戶終端設備之用戶</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迴路。用戶迴路應具備雙向傳輸功能並應至少建設至路邊接線箱 (Curb)</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或到戶。用戶迴路採用固定無線方式者，應至少建設至基地</w:t>
                  </w:r>
                  <w:proofErr w:type="gramStart"/>
                  <w:r w:rsidRPr="00EC4FF3">
                    <w:rPr>
                      <w:rFonts w:ascii="細明體" w:eastAsia="細明體" w:hAnsi="細明體" w:cs="細明體"/>
                      <w:color w:val="363636"/>
                      <w:kern w:val="0"/>
                      <w:szCs w:val="24"/>
                    </w:rPr>
                    <w:t>臺</w:t>
                  </w:r>
                  <w:proofErr w:type="gramEnd"/>
                  <w:r w:rsidRPr="00EC4FF3">
                    <w:rPr>
                      <w:rFonts w:ascii="細明體" w:eastAsia="細明體" w:hAnsi="細明體" w:cs="細明體"/>
                      <w:color w:val="363636"/>
                      <w:kern w:val="0"/>
                      <w:szCs w:val="24"/>
                    </w:rPr>
                    <w:t>或建築物之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用戶端接線箱。</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第一項及第二項申請人事業計畫書所定建設計畫規劃建設之固定無線方式</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用戶迴路超過二十萬門號者，</w:t>
                  </w:r>
                  <w:proofErr w:type="gramStart"/>
                  <w:r w:rsidRPr="00EC4FF3">
                    <w:rPr>
                      <w:rFonts w:ascii="細明體" w:eastAsia="細明體" w:hAnsi="細明體" w:cs="細明體"/>
                      <w:color w:val="363636"/>
                      <w:kern w:val="0"/>
                      <w:szCs w:val="24"/>
                    </w:rPr>
                    <w:t>其計入</w:t>
                  </w:r>
                  <w:proofErr w:type="gramEnd"/>
                  <w:r w:rsidRPr="00EC4FF3">
                    <w:rPr>
                      <w:rFonts w:ascii="細明體" w:eastAsia="細明體" w:hAnsi="細明體" w:cs="細明體"/>
                      <w:color w:val="363636"/>
                      <w:kern w:val="0"/>
                      <w:szCs w:val="24"/>
                    </w:rPr>
                    <w:t>系統容量以二十萬門號計算之。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第一項及第二項申請人應於其事業計畫書中載明其網路建設規模，門號及</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通信</w:t>
                  </w:r>
                  <w:proofErr w:type="gramStart"/>
                  <w:r w:rsidRPr="00EC4FF3">
                    <w:rPr>
                      <w:rFonts w:ascii="細明體" w:eastAsia="細明體" w:hAnsi="細明體" w:cs="細明體"/>
                      <w:color w:val="363636"/>
                      <w:kern w:val="0"/>
                      <w:szCs w:val="24"/>
                    </w:rPr>
                    <w:t>埠</w:t>
                  </w:r>
                  <w:proofErr w:type="gramEnd"/>
                  <w:r w:rsidRPr="00EC4FF3">
                    <w:rPr>
                      <w:rFonts w:ascii="細明體" w:eastAsia="細明體" w:hAnsi="細明體" w:cs="細明體"/>
                      <w:color w:val="363636"/>
                      <w:kern w:val="0"/>
                      <w:szCs w:val="24"/>
                    </w:rPr>
                    <w:t>建設之規劃，使用之技術及系統容量計算方式。</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lastRenderedPageBreak/>
                    <w:t>第</w:t>
                  </w:r>
                  <w:r w:rsidRPr="00EC4FF3">
                    <w:rPr>
                      <w:rFonts w:ascii="Verdana" w:eastAsia="新細明體" w:hAnsi="Verdana" w:cs="新細明體"/>
                      <w:color w:val="363636"/>
                      <w:kern w:val="0"/>
                      <w:sz w:val="20"/>
                      <w:szCs w:val="20"/>
                    </w:rPr>
                    <w:t xml:space="preserve"> 22-1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申請經營市內網路業務者，於網路建設許可證有效期間內，應自行建設之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市內網路不得少於可提供四十萬用戶門號或用戶通信埠 (port) 或用戶門</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號及用戶通信</w:t>
                  </w:r>
                  <w:proofErr w:type="gramStart"/>
                  <w:r w:rsidRPr="00EC4FF3">
                    <w:rPr>
                      <w:rFonts w:ascii="細明體" w:eastAsia="細明體" w:hAnsi="細明體" w:cs="細明體"/>
                      <w:color w:val="363636"/>
                      <w:kern w:val="0"/>
                      <w:szCs w:val="24"/>
                    </w:rPr>
                    <w:t>埠</w:t>
                  </w:r>
                  <w:proofErr w:type="gramEnd"/>
                  <w:r w:rsidRPr="00EC4FF3">
                    <w:rPr>
                      <w:rFonts w:ascii="細明體" w:eastAsia="細明體" w:hAnsi="細明體" w:cs="細明體"/>
                      <w:color w:val="363636"/>
                      <w:kern w:val="0"/>
                      <w:szCs w:val="24"/>
                    </w:rPr>
                    <w:t>組合乘以市內網路經營權數之系統容量。</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前項門號及通信埠之建設，應包括交換設備及連接用戶終端設備之用戶</w:t>
                  </w:r>
                  <w:proofErr w:type="gramStart"/>
                  <w:r w:rsidRPr="00EC4FF3">
                    <w:rPr>
                      <w:rFonts w:ascii="細明體" w:eastAsia="細明體" w:hAnsi="細明體" w:cs="細明體"/>
                      <w:color w:val="363636"/>
                      <w:kern w:val="0"/>
                      <w:szCs w:val="24"/>
                    </w:rPr>
                    <w:t>迴</w:t>
                  </w:r>
                  <w:proofErr w:type="gramEnd"/>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路。用戶迴路應具備雙向傳輸功能並應至少建設至路邊接線箱 (Curb) 或</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到戶。用戶迴路採用固定無線方式者，應至少建設至基地</w:t>
                  </w:r>
                  <w:proofErr w:type="gramStart"/>
                  <w:r w:rsidRPr="00EC4FF3">
                    <w:rPr>
                      <w:rFonts w:ascii="細明體" w:eastAsia="細明體" w:hAnsi="細明體" w:cs="細明體"/>
                      <w:color w:val="363636"/>
                      <w:kern w:val="0"/>
                      <w:szCs w:val="24"/>
                    </w:rPr>
                    <w:t>臺</w:t>
                  </w:r>
                  <w:proofErr w:type="gramEnd"/>
                  <w:r w:rsidRPr="00EC4FF3">
                    <w:rPr>
                      <w:rFonts w:ascii="細明體" w:eastAsia="細明體" w:hAnsi="細明體" w:cs="細明體"/>
                      <w:color w:val="363636"/>
                      <w:kern w:val="0"/>
                      <w:szCs w:val="24"/>
                    </w:rPr>
                    <w:t>或建築物之用</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C4FF3">
                    <w:rPr>
                      <w:rFonts w:ascii="細明體" w:eastAsia="細明體" w:hAnsi="細明體" w:cs="細明體"/>
                      <w:color w:val="363636"/>
                      <w:kern w:val="0"/>
                      <w:szCs w:val="24"/>
                    </w:rPr>
                    <w:t>戶端接線</w:t>
                  </w:r>
                  <w:proofErr w:type="gramEnd"/>
                  <w:r w:rsidRPr="00EC4FF3">
                    <w:rPr>
                      <w:rFonts w:ascii="細明體" w:eastAsia="細明體" w:hAnsi="細明體" w:cs="細明體"/>
                      <w:color w:val="363636"/>
                      <w:kern w:val="0"/>
                      <w:szCs w:val="24"/>
                    </w:rPr>
                    <w:t>箱。</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第一項申請人應於其事業計畫書中載明其網路建設規模，門號及通信埠建</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設之規劃，使用之技術及系統容量計算方式。</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22-2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申請經營長途網路業務者，應於網路建設許可證有效期間內建設完成連結</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lastRenderedPageBreak/>
                    <w:t>大</w:t>
                  </w:r>
                  <w:proofErr w:type="gramStart"/>
                  <w:r w:rsidRPr="00EC4FF3">
                    <w:rPr>
                      <w:rFonts w:ascii="細明體" w:eastAsia="細明體" w:hAnsi="細明體" w:cs="細明體"/>
                      <w:color w:val="363636"/>
                      <w:kern w:val="0"/>
                      <w:szCs w:val="24"/>
                    </w:rPr>
                    <w:t>臺</w:t>
                  </w:r>
                  <w:proofErr w:type="gramEnd"/>
                  <w:r w:rsidRPr="00EC4FF3">
                    <w:rPr>
                      <w:rFonts w:ascii="細明體" w:eastAsia="細明體" w:hAnsi="細明體" w:cs="細明體"/>
                      <w:color w:val="363636"/>
                      <w:kern w:val="0"/>
                      <w:szCs w:val="24"/>
                    </w:rPr>
                    <w:t>北地區 (臺北市、臺北縣、基隆市) 、大</w:t>
                  </w:r>
                  <w:proofErr w:type="gramStart"/>
                  <w:r w:rsidRPr="00EC4FF3">
                    <w:rPr>
                      <w:rFonts w:ascii="細明體" w:eastAsia="細明體" w:hAnsi="細明體" w:cs="細明體"/>
                      <w:color w:val="363636"/>
                      <w:kern w:val="0"/>
                      <w:szCs w:val="24"/>
                    </w:rPr>
                    <w:t>臺</w:t>
                  </w:r>
                  <w:proofErr w:type="gramEnd"/>
                  <w:r w:rsidRPr="00EC4FF3">
                    <w:rPr>
                      <w:rFonts w:ascii="細明體" w:eastAsia="細明體" w:hAnsi="細明體" w:cs="細明體"/>
                      <w:color w:val="363636"/>
                      <w:kern w:val="0"/>
                      <w:szCs w:val="24"/>
                    </w:rPr>
                    <w:t>中地區 (</w:t>
                  </w:r>
                  <w:proofErr w:type="gramStart"/>
                  <w:r w:rsidRPr="00EC4FF3">
                    <w:rPr>
                      <w:rFonts w:ascii="細明體" w:eastAsia="細明體" w:hAnsi="細明體" w:cs="細明體"/>
                      <w:color w:val="363636"/>
                      <w:kern w:val="0"/>
                      <w:szCs w:val="24"/>
                    </w:rPr>
                    <w:t>臺</w:t>
                  </w:r>
                  <w:proofErr w:type="gramEnd"/>
                  <w:r w:rsidRPr="00EC4FF3">
                    <w:rPr>
                      <w:rFonts w:ascii="細明體" w:eastAsia="細明體" w:hAnsi="細明體" w:cs="細明體"/>
                      <w:color w:val="363636"/>
                      <w:kern w:val="0"/>
                      <w:szCs w:val="24"/>
                    </w:rPr>
                    <w:t>中市、</w:t>
                  </w:r>
                  <w:proofErr w:type="gramStart"/>
                  <w:r w:rsidRPr="00EC4FF3">
                    <w:rPr>
                      <w:rFonts w:ascii="細明體" w:eastAsia="細明體" w:hAnsi="細明體" w:cs="細明體"/>
                      <w:color w:val="363636"/>
                      <w:kern w:val="0"/>
                      <w:szCs w:val="24"/>
                    </w:rPr>
                    <w:t>臺</w:t>
                  </w:r>
                  <w:proofErr w:type="gramEnd"/>
                  <w:r w:rsidRPr="00EC4FF3">
                    <w:rPr>
                      <w:rFonts w:ascii="細明體" w:eastAsia="細明體" w:hAnsi="細明體" w:cs="細明體"/>
                      <w:color w:val="363636"/>
                      <w:kern w:val="0"/>
                      <w:szCs w:val="24"/>
                    </w:rPr>
                    <w:t>中縣</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及大高雄地區 (高雄市、高雄縣) 之光纖骨幹網路。</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前項申請人應於其事業計畫書內載明其網路建設規模。</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lastRenderedPageBreak/>
                    <w:t>第</w:t>
                  </w:r>
                  <w:r w:rsidRPr="00EC4FF3">
                    <w:rPr>
                      <w:rFonts w:ascii="Verdana" w:eastAsia="新細明體" w:hAnsi="Verdana" w:cs="新細明體"/>
                      <w:color w:val="363636"/>
                      <w:kern w:val="0"/>
                      <w:sz w:val="20"/>
                      <w:szCs w:val="20"/>
                    </w:rPr>
                    <w:t xml:space="preserve"> 22-3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申請經營國際網路業務者，應於網路建設許可證有效期間內建設完成國際</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通信交換設施，及登陸我國之國際海纜電路 (含國際海纜登陸站) 或固定</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地球電臺。</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前項海纜登陸路線之劃定許可，應依在中華民國大陸礁層鋪設維護變更海</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底電纜或管道之路線劃定許可辦法相關規定辦理。</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國際網路業務者設置之內陸</w:t>
                  </w:r>
                  <w:proofErr w:type="gramStart"/>
                  <w:r w:rsidRPr="00EC4FF3">
                    <w:rPr>
                      <w:rFonts w:ascii="細明體" w:eastAsia="細明體" w:hAnsi="細明體" w:cs="細明體"/>
                      <w:color w:val="363636"/>
                      <w:kern w:val="0"/>
                      <w:szCs w:val="24"/>
                    </w:rPr>
                    <w:t>介</w:t>
                  </w:r>
                  <w:proofErr w:type="gramEnd"/>
                  <w:r w:rsidRPr="00EC4FF3">
                    <w:rPr>
                      <w:rFonts w:ascii="細明體" w:eastAsia="細明體" w:hAnsi="細明體" w:cs="細明體"/>
                      <w:color w:val="363636"/>
                      <w:kern w:val="0"/>
                      <w:szCs w:val="24"/>
                    </w:rPr>
                    <w:t>接站，除設置於國際海纜登陸站同一處所者</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外，對應每一國際海纜登陸站以設置一站為限。</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國際網路業務經營者連接海纜登陸站與內陸</w:t>
                  </w:r>
                  <w:proofErr w:type="gramStart"/>
                  <w:r w:rsidRPr="00EC4FF3">
                    <w:rPr>
                      <w:rFonts w:ascii="細明體" w:eastAsia="細明體" w:hAnsi="細明體" w:cs="細明體"/>
                      <w:color w:val="363636"/>
                      <w:kern w:val="0"/>
                      <w:szCs w:val="24"/>
                    </w:rPr>
                    <w:t>介</w:t>
                  </w:r>
                  <w:proofErr w:type="gramEnd"/>
                  <w:r w:rsidRPr="00EC4FF3">
                    <w:rPr>
                      <w:rFonts w:ascii="細明體" w:eastAsia="細明體" w:hAnsi="細明體" w:cs="細明體"/>
                      <w:color w:val="363636"/>
                      <w:kern w:val="0"/>
                      <w:szCs w:val="24"/>
                    </w:rPr>
                    <w:t>接站之內陸傳輸鏈路，得自</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行建設或向綜合網路業務或市內、國內長途陸纜電路出租業務經營者租用</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第一項建設涉及固定地球電臺部分，應依衛星通信業務管理規則相關規定</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辦理。</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國際網路業務申請人應於其事業計畫書內載明其網路建設規模，及其國際</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連</w:t>
                  </w:r>
                  <w:proofErr w:type="gramStart"/>
                  <w:r w:rsidRPr="00EC4FF3">
                    <w:rPr>
                      <w:rFonts w:ascii="細明體" w:eastAsia="細明體" w:hAnsi="細明體" w:cs="細明體"/>
                      <w:color w:val="363636"/>
                      <w:kern w:val="0"/>
                      <w:szCs w:val="24"/>
                    </w:rPr>
                    <w:t>外海纜頻寬</w:t>
                  </w:r>
                  <w:proofErr w:type="gramEnd"/>
                  <w:r w:rsidRPr="00EC4FF3">
                    <w:rPr>
                      <w:rFonts w:ascii="細明體" w:eastAsia="細明體" w:hAnsi="細明體" w:cs="細明體"/>
                      <w:color w:val="363636"/>
                      <w:kern w:val="0"/>
                      <w:szCs w:val="24"/>
                    </w:rPr>
                    <w:t>至少應為每秒五十億位元。</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前項有關</w:t>
                  </w:r>
                  <w:proofErr w:type="gramStart"/>
                  <w:r w:rsidRPr="00EC4FF3">
                    <w:rPr>
                      <w:rFonts w:ascii="細明體" w:eastAsia="細明體" w:hAnsi="細明體" w:cs="細明體"/>
                      <w:color w:val="363636"/>
                      <w:kern w:val="0"/>
                      <w:szCs w:val="24"/>
                    </w:rPr>
                    <w:t>海纜頻寬</w:t>
                  </w:r>
                  <w:proofErr w:type="gramEnd"/>
                  <w:r w:rsidRPr="00EC4FF3">
                    <w:rPr>
                      <w:rFonts w:ascii="細明體" w:eastAsia="細明體" w:hAnsi="細明體" w:cs="細明體"/>
                      <w:color w:val="363636"/>
                      <w:kern w:val="0"/>
                      <w:szCs w:val="24"/>
                    </w:rPr>
                    <w:t>取得方式包括申請人投資海纜建設或購買其長期使用權</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二種。</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23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綜合網路業務申請人完成前條第一項所定自行建置市內網路達十五萬用戶</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門號或用戶通信埠或用戶門號及用戶通信</w:t>
                  </w:r>
                  <w:proofErr w:type="gramStart"/>
                  <w:r w:rsidRPr="00EC4FF3">
                    <w:rPr>
                      <w:rFonts w:ascii="細明體" w:eastAsia="細明體" w:hAnsi="細明體" w:cs="細明體"/>
                      <w:color w:val="363636"/>
                      <w:kern w:val="0"/>
                      <w:szCs w:val="24"/>
                    </w:rPr>
                    <w:t>埠</w:t>
                  </w:r>
                  <w:proofErr w:type="gramEnd"/>
                  <w:r w:rsidRPr="00EC4FF3">
                    <w:rPr>
                      <w:rFonts w:ascii="細明體" w:eastAsia="細明體" w:hAnsi="細明體" w:cs="細明體"/>
                      <w:color w:val="363636"/>
                      <w:kern w:val="0"/>
                      <w:szCs w:val="24"/>
                    </w:rPr>
                    <w:t>組合之系統容量之網路規模，</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並經</w:t>
                  </w:r>
                  <w:proofErr w:type="gramStart"/>
                  <w:r w:rsidRPr="00EC4FF3">
                    <w:rPr>
                      <w:rFonts w:ascii="細明體" w:eastAsia="細明體" w:hAnsi="細明體" w:cs="細明體"/>
                      <w:color w:val="363636"/>
                      <w:kern w:val="0"/>
                      <w:szCs w:val="24"/>
                    </w:rPr>
                    <w:t>電信總局審驗合格</w:t>
                  </w:r>
                  <w:proofErr w:type="gramEnd"/>
                  <w:r w:rsidRPr="00EC4FF3">
                    <w:rPr>
                      <w:rFonts w:ascii="細明體" w:eastAsia="細明體" w:hAnsi="細明體" w:cs="細明體"/>
                      <w:color w:val="363636"/>
                      <w:kern w:val="0"/>
                      <w:szCs w:val="24"/>
                    </w:rPr>
                    <w:t>後，應檢具下列文件向電信總局申請特許執照：</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一、特許執照申請書。</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二、籌設同意書影本。</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lastRenderedPageBreak/>
                    <w:t>三、公司登記證明文件影本。</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四、固定通信</w:t>
                  </w:r>
                  <w:proofErr w:type="gramStart"/>
                  <w:r w:rsidRPr="00EC4FF3">
                    <w:rPr>
                      <w:rFonts w:ascii="細明體" w:eastAsia="細明體" w:hAnsi="細明體" w:cs="細明體"/>
                      <w:color w:val="363636"/>
                      <w:kern w:val="0"/>
                      <w:szCs w:val="24"/>
                    </w:rPr>
                    <w:t>網路審驗合格</w:t>
                  </w:r>
                  <w:proofErr w:type="gramEnd"/>
                  <w:r w:rsidRPr="00EC4FF3">
                    <w:rPr>
                      <w:rFonts w:ascii="細明體" w:eastAsia="細明體" w:hAnsi="細明體" w:cs="細明體"/>
                      <w:color w:val="363636"/>
                      <w:kern w:val="0"/>
                      <w:szCs w:val="24"/>
                    </w:rPr>
                    <w:t>之證明文件。</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五、</w:t>
                  </w:r>
                  <w:proofErr w:type="gramStart"/>
                  <w:r w:rsidRPr="00EC4FF3">
                    <w:rPr>
                      <w:rFonts w:ascii="細明體" w:eastAsia="細明體" w:hAnsi="細明體" w:cs="細明體"/>
                      <w:color w:val="363636"/>
                      <w:kern w:val="0"/>
                      <w:szCs w:val="24"/>
                    </w:rPr>
                    <w:t>資費經主管機關</w:t>
                  </w:r>
                  <w:proofErr w:type="gramEnd"/>
                  <w:r w:rsidRPr="00EC4FF3">
                    <w:rPr>
                      <w:rFonts w:ascii="細明體" w:eastAsia="細明體" w:hAnsi="細明體" w:cs="細明體"/>
                      <w:color w:val="363636"/>
                      <w:kern w:val="0"/>
                      <w:szCs w:val="24"/>
                    </w:rPr>
                    <w:t>同意備查之證明文件。</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六、公司營業規章經交通部核定之證明文件。</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七、經營者與其使用者訂立之服務契約範本經電信總局核定之影本。</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民國九十三年六月三十日後申請經營綜合網路業務者，於完成前條第二項</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所定自行建置市內網路達六萬用戶門號或用戶通信埠或用戶門號及用戶通</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C4FF3">
                    <w:rPr>
                      <w:rFonts w:ascii="細明體" w:eastAsia="細明體" w:hAnsi="細明體" w:cs="細明體"/>
                      <w:color w:val="363636"/>
                      <w:kern w:val="0"/>
                      <w:szCs w:val="24"/>
                    </w:rPr>
                    <w:t>信埠組合</w:t>
                  </w:r>
                  <w:proofErr w:type="gramEnd"/>
                  <w:r w:rsidRPr="00EC4FF3">
                    <w:rPr>
                      <w:rFonts w:ascii="細明體" w:eastAsia="細明體" w:hAnsi="細明體" w:cs="細明體"/>
                      <w:color w:val="363636"/>
                      <w:kern w:val="0"/>
                      <w:szCs w:val="24"/>
                    </w:rPr>
                    <w:t>之系統容量之網路規模，並經</w:t>
                  </w:r>
                  <w:proofErr w:type="gramStart"/>
                  <w:r w:rsidRPr="00EC4FF3">
                    <w:rPr>
                      <w:rFonts w:ascii="細明體" w:eastAsia="細明體" w:hAnsi="細明體" w:cs="細明體"/>
                      <w:color w:val="363636"/>
                      <w:kern w:val="0"/>
                      <w:szCs w:val="24"/>
                    </w:rPr>
                    <w:t>電信總局審驗合格</w:t>
                  </w:r>
                  <w:proofErr w:type="gramEnd"/>
                  <w:r w:rsidRPr="00EC4FF3">
                    <w:rPr>
                      <w:rFonts w:ascii="細明體" w:eastAsia="細明體" w:hAnsi="細明體" w:cs="細明體"/>
                      <w:color w:val="363636"/>
                      <w:kern w:val="0"/>
                      <w:szCs w:val="24"/>
                    </w:rPr>
                    <w:t>後，應檢具前項</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規定之文件向電信總局申請特許執照。</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前二項及第二十七條所定之</w:t>
                  </w:r>
                  <w:proofErr w:type="gramStart"/>
                  <w:r w:rsidRPr="00EC4FF3">
                    <w:rPr>
                      <w:rFonts w:ascii="細明體" w:eastAsia="細明體" w:hAnsi="細明體" w:cs="細明體"/>
                      <w:color w:val="363636"/>
                      <w:kern w:val="0"/>
                      <w:szCs w:val="24"/>
                    </w:rPr>
                    <w:t>審驗，其審驗</w:t>
                  </w:r>
                  <w:proofErr w:type="gramEnd"/>
                  <w:r w:rsidRPr="00EC4FF3">
                    <w:rPr>
                      <w:rFonts w:ascii="細明體" w:eastAsia="細明體" w:hAnsi="細明體" w:cs="細明體"/>
                      <w:color w:val="363636"/>
                      <w:kern w:val="0"/>
                      <w:szCs w:val="24"/>
                    </w:rPr>
                    <w:t>項目及合格認定標準，由電信總</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局定之。</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lastRenderedPageBreak/>
                    <w:t>第</w:t>
                  </w:r>
                  <w:r w:rsidRPr="00EC4FF3">
                    <w:rPr>
                      <w:rFonts w:ascii="Verdana" w:eastAsia="新細明體" w:hAnsi="Verdana" w:cs="新細明體"/>
                      <w:color w:val="363636"/>
                      <w:kern w:val="0"/>
                      <w:sz w:val="20"/>
                      <w:szCs w:val="20"/>
                    </w:rPr>
                    <w:t xml:space="preserve"> 23-1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市內、國內長途陸纜電路出租業務申請人於辦妥公司變更登記，應於籌設</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同意書有效期間內，就其出租部分之網路於技術上自其既有傳輸網路中分</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割完竣。其出租部分之網路經</w:t>
                  </w:r>
                  <w:proofErr w:type="gramStart"/>
                  <w:r w:rsidRPr="00EC4FF3">
                    <w:rPr>
                      <w:rFonts w:ascii="細明體" w:eastAsia="細明體" w:hAnsi="細明體" w:cs="細明體"/>
                      <w:color w:val="363636"/>
                      <w:kern w:val="0"/>
                      <w:szCs w:val="24"/>
                    </w:rPr>
                    <w:t>電信總局審驗合格</w:t>
                  </w:r>
                  <w:proofErr w:type="gramEnd"/>
                  <w:r w:rsidRPr="00EC4FF3">
                    <w:rPr>
                      <w:rFonts w:ascii="細明體" w:eastAsia="細明體" w:hAnsi="細明體" w:cs="細明體"/>
                      <w:color w:val="363636"/>
                      <w:kern w:val="0"/>
                      <w:szCs w:val="24"/>
                    </w:rPr>
                    <w:t>後，應檢具下列文件向電</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信總局申請特許執照：</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一、特許執照申請書。</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二、籌設同意書影本。</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三、公司登記證明文件影本。</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四、市內、國內長途</w:t>
                  </w:r>
                  <w:proofErr w:type="gramStart"/>
                  <w:r w:rsidRPr="00EC4FF3">
                    <w:rPr>
                      <w:rFonts w:ascii="細明體" w:eastAsia="細明體" w:hAnsi="細明體" w:cs="細明體"/>
                      <w:color w:val="363636"/>
                      <w:kern w:val="0"/>
                      <w:szCs w:val="24"/>
                    </w:rPr>
                    <w:t>電路審驗合格</w:t>
                  </w:r>
                  <w:proofErr w:type="gramEnd"/>
                  <w:r w:rsidRPr="00EC4FF3">
                    <w:rPr>
                      <w:rFonts w:ascii="細明體" w:eastAsia="細明體" w:hAnsi="細明體" w:cs="細明體"/>
                      <w:color w:val="363636"/>
                      <w:kern w:val="0"/>
                      <w:szCs w:val="24"/>
                    </w:rPr>
                    <w:t>之證明文件。</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五、</w:t>
                  </w:r>
                  <w:proofErr w:type="gramStart"/>
                  <w:r w:rsidRPr="00EC4FF3">
                    <w:rPr>
                      <w:rFonts w:ascii="細明體" w:eastAsia="細明體" w:hAnsi="細明體" w:cs="細明體"/>
                      <w:color w:val="363636"/>
                      <w:kern w:val="0"/>
                      <w:szCs w:val="24"/>
                    </w:rPr>
                    <w:t>資費經主管機關</w:t>
                  </w:r>
                  <w:proofErr w:type="gramEnd"/>
                  <w:r w:rsidRPr="00EC4FF3">
                    <w:rPr>
                      <w:rFonts w:ascii="細明體" w:eastAsia="細明體" w:hAnsi="細明體" w:cs="細明體"/>
                      <w:color w:val="363636"/>
                      <w:kern w:val="0"/>
                      <w:szCs w:val="24"/>
                    </w:rPr>
                    <w:t>同意備查之證明文件。</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六、公司營業規章經交通部核定之證明文件。</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七、經營者與其使用者訂立之服務契約範本經電信總局核定之影本。</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前項所定</w:t>
                  </w:r>
                  <w:proofErr w:type="gramStart"/>
                  <w:r w:rsidRPr="00EC4FF3">
                    <w:rPr>
                      <w:rFonts w:ascii="細明體" w:eastAsia="細明體" w:hAnsi="細明體" w:cs="細明體"/>
                      <w:color w:val="363636"/>
                      <w:kern w:val="0"/>
                      <w:szCs w:val="24"/>
                    </w:rPr>
                    <w:t>審驗，其審驗</w:t>
                  </w:r>
                  <w:proofErr w:type="gramEnd"/>
                  <w:r w:rsidRPr="00EC4FF3">
                    <w:rPr>
                      <w:rFonts w:ascii="細明體" w:eastAsia="細明體" w:hAnsi="細明體" w:cs="細明體"/>
                      <w:color w:val="363636"/>
                      <w:kern w:val="0"/>
                      <w:szCs w:val="24"/>
                    </w:rPr>
                    <w:t>項目及合格認定標準，由電信總局定之。</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23-2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國際海纜電路出租業務申請人完成建設第十二條之一第三項所定登陸我國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之國際海纜電路及海纜登陸站，並經</w:t>
                  </w:r>
                  <w:proofErr w:type="gramStart"/>
                  <w:r w:rsidRPr="00EC4FF3">
                    <w:rPr>
                      <w:rFonts w:ascii="細明體" w:eastAsia="細明體" w:hAnsi="細明體" w:cs="細明體"/>
                      <w:color w:val="363636"/>
                      <w:kern w:val="0"/>
                      <w:szCs w:val="24"/>
                    </w:rPr>
                    <w:t>電信總局審驗合格</w:t>
                  </w:r>
                  <w:proofErr w:type="gramEnd"/>
                  <w:r w:rsidRPr="00EC4FF3">
                    <w:rPr>
                      <w:rFonts w:ascii="細明體" w:eastAsia="細明體" w:hAnsi="細明體" w:cs="細明體"/>
                      <w:color w:val="363636"/>
                      <w:kern w:val="0"/>
                      <w:szCs w:val="24"/>
                    </w:rPr>
                    <w:t>後，應檢具下列文</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lastRenderedPageBreak/>
                    <w:t>件向電信總局申請特許執照：</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一、特許執照申請書。</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二、籌設同意書影本。</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三、公司登記證明文件影本。</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四、國際海纜</w:t>
                  </w:r>
                  <w:proofErr w:type="gramStart"/>
                  <w:r w:rsidRPr="00EC4FF3">
                    <w:rPr>
                      <w:rFonts w:ascii="細明體" w:eastAsia="細明體" w:hAnsi="細明體" w:cs="細明體"/>
                      <w:color w:val="363636"/>
                      <w:kern w:val="0"/>
                      <w:szCs w:val="24"/>
                    </w:rPr>
                    <w:t>電路審驗合格</w:t>
                  </w:r>
                  <w:proofErr w:type="gramEnd"/>
                  <w:r w:rsidRPr="00EC4FF3">
                    <w:rPr>
                      <w:rFonts w:ascii="細明體" w:eastAsia="細明體" w:hAnsi="細明體" w:cs="細明體"/>
                      <w:color w:val="363636"/>
                      <w:kern w:val="0"/>
                      <w:szCs w:val="24"/>
                    </w:rPr>
                    <w:t>之證明文件。</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五、</w:t>
                  </w:r>
                  <w:proofErr w:type="gramStart"/>
                  <w:r w:rsidRPr="00EC4FF3">
                    <w:rPr>
                      <w:rFonts w:ascii="細明體" w:eastAsia="細明體" w:hAnsi="細明體" w:cs="細明體"/>
                      <w:color w:val="363636"/>
                      <w:kern w:val="0"/>
                      <w:szCs w:val="24"/>
                    </w:rPr>
                    <w:t>資費經主管機關</w:t>
                  </w:r>
                  <w:proofErr w:type="gramEnd"/>
                  <w:r w:rsidRPr="00EC4FF3">
                    <w:rPr>
                      <w:rFonts w:ascii="細明體" w:eastAsia="細明體" w:hAnsi="細明體" w:cs="細明體"/>
                      <w:color w:val="363636"/>
                      <w:kern w:val="0"/>
                      <w:szCs w:val="24"/>
                    </w:rPr>
                    <w:t>同意備查之證明文件。</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六、公司營業規章經交通部核定之證明文件。</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七、經營者與其使用者訂立之服務契約範本經電信總局核定之影本。</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前項所定之</w:t>
                  </w:r>
                  <w:proofErr w:type="gramStart"/>
                  <w:r w:rsidRPr="00EC4FF3">
                    <w:rPr>
                      <w:rFonts w:ascii="細明體" w:eastAsia="細明體" w:hAnsi="細明體" w:cs="細明體"/>
                      <w:color w:val="363636"/>
                      <w:kern w:val="0"/>
                      <w:szCs w:val="24"/>
                    </w:rPr>
                    <w:t>審驗，其審驗</w:t>
                  </w:r>
                  <w:proofErr w:type="gramEnd"/>
                  <w:r w:rsidRPr="00EC4FF3">
                    <w:rPr>
                      <w:rFonts w:ascii="細明體" w:eastAsia="細明體" w:hAnsi="細明體" w:cs="細明體"/>
                      <w:color w:val="363636"/>
                      <w:kern w:val="0"/>
                      <w:szCs w:val="24"/>
                    </w:rPr>
                    <w:t>項目及合格認定標準，由電信總局定之。</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lastRenderedPageBreak/>
                    <w:t>第</w:t>
                  </w:r>
                  <w:r w:rsidRPr="00EC4FF3">
                    <w:rPr>
                      <w:rFonts w:ascii="Verdana" w:eastAsia="新細明體" w:hAnsi="Verdana" w:cs="新細明體"/>
                      <w:color w:val="363636"/>
                      <w:kern w:val="0"/>
                      <w:sz w:val="20"/>
                      <w:szCs w:val="20"/>
                    </w:rPr>
                    <w:t xml:space="preserve"> 23-3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市內網路業務申請人完成第二十二條之一第一項所定自行建置市內網路達</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六萬用戶門號或用戶通信埠或用戶門號及用戶通信</w:t>
                  </w:r>
                  <w:proofErr w:type="gramStart"/>
                  <w:r w:rsidRPr="00EC4FF3">
                    <w:rPr>
                      <w:rFonts w:ascii="細明體" w:eastAsia="細明體" w:hAnsi="細明體" w:cs="細明體"/>
                      <w:color w:val="363636"/>
                      <w:kern w:val="0"/>
                      <w:szCs w:val="24"/>
                    </w:rPr>
                    <w:t>埠</w:t>
                  </w:r>
                  <w:proofErr w:type="gramEnd"/>
                  <w:r w:rsidRPr="00EC4FF3">
                    <w:rPr>
                      <w:rFonts w:ascii="細明體" w:eastAsia="細明體" w:hAnsi="細明體" w:cs="細明體"/>
                      <w:color w:val="363636"/>
                      <w:kern w:val="0"/>
                      <w:szCs w:val="24"/>
                    </w:rPr>
                    <w:t>組合乘以市內網路經</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營權數之系統容量之網路規模，並經</w:t>
                  </w:r>
                  <w:proofErr w:type="gramStart"/>
                  <w:r w:rsidRPr="00EC4FF3">
                    <w:rPr>
                      <w:rFonts w:ascii="細明體" w:eastAsia="細明體" w:hAnsi="細明體" w:cs="細明體"/>
                      <w:color w:val="363636"/>
                      <w:kern w:val="0"/>
                      <w:szCs w:val="24"/>
                    </w:rPr>
                    <w:t>電信總局審驗合格</w:t>
                  </w:r>
                  <w:proofErr w:type="gramEnd"/>
                  <w:r w:rsidRPr="00EC4FF3">
                    <w:rPr>
                      <w:rFonts w:ascii="細明體" w:eastAsia="細明體" w:hAnsi="細明體" w:cs="細明體"/>
                      <w:color w:val="363636"/>
                      <w:kern w:val="0"/>
                      <w:szCs w:val="24"/>
                    </w:rPr>
                    <w:t>後，應檢具下列文</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件向電信總局申請特許執照：</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一、特許執照申請書。</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二、籌設同意書影本。</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三、公司登記證明文件影本。</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四、市內</w:t>
                  </w:r>
                  <w:proofErr w:type="gramStart"/>
                  <w:r w:rsidRPr="00EC4FF3">
                    <w:rPr>
                      <w:rFonts w:ascii="細明體" w:eastAsia="細明體" w:hAnsi="細明體" w:cs="細明體"/>
                      <w:color w:val="363636"/>
                      <w:kern w:val="0"/>
                      <w:szCs w:val="24"/>
                    </w:rPr>
                    <w:t>網路審驗合格</w:t>
                  </w:r>
                  <w:proofErr w:type="gramEnd"/>
                  <w:r w:rsidRPr="00EC4FF3">
                    <w:rPr>
                      <w:rFonts w:ascii="細明體" w:eastAsia="細明體" w:hAnsi="細明體" w:cs="細明體"/>
                      <w:color w:val="363636"/>
                      <w:kern w:val="0"/>
                      <w:szCs w:val="24"/>
                    </w:rPr>
                    <w:t>之證明文件。</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五、</w:t>
                  </w:r>
                  <w:proofErr w:type="gramStart"/>
                  <w:r w:rsidRPr="00EC4FF3">
                    <w:rPr>
                      <w:rFonts w:ascii="細明體" w:eastAsia="細明體" w:hAnsi="細明體" w:cs="細明體"/>
                      <w:color w:val="363636"/>
                      <w:kern w:val="0"/>
                      <w:szCs w:val="24"/>
                    </w:rPr>
                    <w:t>資費經主管機關</w:t>
                  </w:r>
                  <w:proofErr w:type="gramEnd"/>
                  <w:r w:rsidRPr="00EC4FF3">
                    <w:rPr>
                      <w:rFonts w:ascii="細明體" w:eastAsia="細明體" w:hAnsi="細明體" w:cs="細明體"/>
                      <w:color w:val="363636"/>
                      <w:kern w:val="0"/>
                      <w:szCs w:val="24"/>
                    </w:rPr>
                    <w:t>同意備查之證明文件。</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六、公司營業規章經交通部核定之證明文件。</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七、經營者與其使用者訂立之服務契約範本經電信總局核定之影本。</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前項所定之</w:t>
                  </w:r>
                  <w:proofErr w:type="gramStart"/>
                  <w:r w:rsidRPr="00EC4FF3">
                    <w:rPr>
                      <w:rFonts w:ascii="細明體" w:eastAsia="細明體" w:hAnsi="細明體" w:cs="細明體"/>
                      <w:color w:val="363636"/>
                      <w:kern w:val="0"/>
                      <w:szCs w:val="24"/>
                    </w:rPr>
                    <w:t>審驗，其審驗</w:t>
                  </w:r>
                  <w:proofErr w:type="gramEnd"/>
                  <w:r w:rsidRPr="00EC4FF3">
                    <w:rPr>
                      <w:rFonts w:ascii="細明體" w:eastAsia="細明體" w:hAnsi="細明體" w:cs="細明體"/>
                      <w:color w:val="363636"/>
                      <w:kern w:val="0"/>
                      <w:szCs w:val="24"/>
                    </w:rPr>
                    <w:t>項目及合格認定標準，由電信總局定之。</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23-4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長途網路業務申請人完成建設第二十二條之二第一項所定光纖骨幹網路，</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並經</w:t>
                  </w:r>
                  <w:proofErr w:type="gramStart"/>
                  <w:r w:rsidRPr="00EC4FF3">
                    <w:rPr>
                      <w:rFonts w:ascii="細明體" w:eastAsia="細明體" w:hAnsi="細明體" w:cs="細明體"/>
                      <w:color w:val="363636"/>
                      <w:kern w:val="0"/>
                      <w:szCs w:val="24"/>
                    </w:rPr>
                    <w:t>電信總局審驗合格</w:t>
                  </w:r>
                  <w:proofErr w:type="gramEnd"/>
                  <w:r w:rsidRPr="00EC4FF3">
                    <w:rPr>
                      <w:rFonts w:ascii="細明體" w:eastAsia="細明體" w:hAnsi="細明體" w:cs="細明體"/>
                      <w:color w:val="363636"/>
                      <w:kern w:val="0"/>
                      <w:szCs w:val="24"/>
                    </w:rPr>
                    <w:t>後，應檢具下列文件向電信總局申請特許執照：</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一、特許執照申請書。</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二、籌設同意書影本。</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三、公司登記證明文件影本。</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四、長途</w:t>
                  </w:r>
                  <w:proofErr w:type="gramStart"/>
                  <w:r w:rsidRPr="00EC4FF3">
                    <w:rPr>
                      <w:rFonts w:ascii="細明體" w:eastAsia="細明體" w:hAnsi="細明體" w:cs="細明體"/>
                      <w:color w:val="363636"/>
                      <w:kern w:val="0"/>
                      <w:szCs w:val="24"/>
                    </w:rPr>
                    <w:t>網路審驗合格</w:t>
                  </w:r>
                  <w:proofErr w:type="gramEnd"/>
                  <w:r w:rsidRPr="00EC4FF3">
                    <w:rPr>
                      <w:rFonts w:ascii="細明體" w:eastAsia="細明體" w:hAnsi="細明體" w:cs="細明體"/>
                      <w:color w:val="363636"/>
                      <w:kern w:val="0"/>
                      <w:szCs w:val="24"/>
                    </w:rPr>
                    <w:t>之證明文件。</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五、</w:t>
                  </w:r>
                  <w:proofErr w:type="gramStart"/>
                  <w:r w:rsidRPr="00EC4FF3">
                    <w:rPr>
                      <w:rFonts w:ascii="細明體" w:eastAsia="細明體" w:hAnsi="細明體" w:cs="細明體"/>
                      <w:color w:val="363636"/>
                      <w:kern w:val="0"/>
                      <w:szCs w:val="24"/>
                    </w:rPr>
                    <w:t>資費經主管機關</w:t>
                  </w:r>
                  <w:proofErr w:type="gramEnd"/>
                  <w:r w:rsidRPr="00EC4FF3">
                    <w:rPr>
                      <w:rFonts w:ascii="細明體" w:eastAsia="細明體" w:hAnsi="細明體" w:cs="細明體"/>
                      <w:color w:val="363636"/>
                      <w:kern w:val="0"/>
                      <w:szCs w:val="24"/>
                    </w:rPr>
                    <w:t>同意備查之證明文件。</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lastRenderedPageBreak/>
                    <w:t>六、公司營業規章經交通部核定之證明文件。</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七、經營者與其使用者訂立之服務契約範本經電信總局核定之影本。</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前項所定</w:t>
                  </w:r>
                  <w:proofErr w:type="gramStart"/>
                  <w:r w:rsidRPr="00EC4FF3">
                    <w:rPr>
                      <w:rFonts w:ascii="細明體" w:eastAsia="細明體" w:hAnsi="細明體" w:cs="細明體"/>
                      <w:color w:val="363636"/>
                      <w:kern w:val="0"/>
                      <w:szCs w:val="24"/>
                    </w:rPr>
                    <w:t>審驗，其審驗</w:t>
                  </w:r>
                  <w:proofErr w:type="gramEnd"/>
                  <w:r w:rsidRPr="00EC4FF3">
                    <w:rPr>
                      <w:rFonts w:ascii="細明體" w:eastAsia="細明體" w:hAnsi="細明體" w:cs="細明體"/>
                      <w:color w:val="363636"/>
                      <w:kern w:val="0"/>
                      <w:szCs w:val="24"/>
                    </w:rPr>
                    <w:t>項目及合格認定標準，由電信總局定之。</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lastRenderedPageBreak/>
                    <w:t>第</w:t>
                  </w:r>
                  <w:r w:rsidRPr="00EC4FF3">
                    <w:rPr>
                      <w:rFonts w:ascii="Verdana" w:eastAsia="新細明體" w:hAnsi="Verdana" w:cs="新細明體"/>
                      <w:color w:val="363636"/>
                      <w:kern w:val="0"/>
                      <w:sz w:val="20"/>
                      <w:szCs w:val="20"/>
                    </w:rPr>
                    <w:t xml:space="preserve"> 23-5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國際網路業務申請人應取得國際</w:t>
                  </w:r>
                  <w:proofErr w:type="gramStart"/>
                  <w:r w:rsidRPr="00EC4FF3">
                    <w:rPr>
                      <w:rFonts w:ascii="細明體" w:eastAsia="細明體" w:hAnsi="細明體" w:cs="細明體"/>
                      <w:color w:val="363636"/>
                      <w:kern w:val="0"/>
                      <w:szCs w:val="24"/>
                    </w:rPr>
                    <w:t>海纜連外</w:t>
                  </w:r>
                  <w:proofErr w:type="gramEnd"/>
                  <w:r w:rsidRPr="00EC4FF3">
                    <w:rPr>
                      <w:rFonts w:ascii="細明體" w:eastAsia="細明體" w:hAnsi="細明體" w:cs="細明體"/>
                      <w:color w:val="363636"/>
                      <w:kern w:val="0"/>
                      <w:szCs w:val="24"/>
                    </w:rPr>
                    <w:t>全電路頻寬至少應為每秒五十億</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位元，且完成建設第二十二條之三第一項所定國際連外設施，並經電信總</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C4FF3">
                    <w:rPr>
                      <w:rFonts w:ascii="細明體" w:eastAsia="細明體" w:hAnsi="細明體" w:cs="細明體"/>
                      <w:color w:val="363636"/>
                      <w:kern w:val="0"/>
                      <w:szCs w:val="24"/>
                    </w:rPr>
                    <w:t>局審驗</w:t>
                  </w:r>
                  <w:proofErr w:type="gramEnd"/>
                  <w:r w:rsidRPr="00EC4FF3">
                    <w:rPr>
                      <w:rFonts w:ascii="細明體" w:eastAsia="細明體" w:hAnsi="細明體" w:cs="細明體"/>
                      <w:color w:val="363636"/>
                      <w:kern w:val="0"/>
                      <w:szCs w:val="24"/>
                    </w:rPr>
                    <w:t>合格後，應檢具下列文件向電信總局申請特許執照：</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一、特許執照申請書。</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二、籌設同意書影本。</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三、公司登記證明文件影本。</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四、國際</w:t>
                  </w:r>
                  <w:proofErr w:type="gramStart"/>
                  <w:r w:rsidRPr="00EC4FF3">
                    <w:rPr>
                      <w:rFonts w:ascii="細明體" w:eastAsia="細明體" w:hAnsi="細明體" w:cs="細明體"/>
                      <w:color w:val="363636"/>
                      <w:kern w:val="0"/>
                      <w:szCs w:val="24"/>
                    </w:rPr>
                    <w:t>網路審驗合格</w:t>
                  </w:r>
                  <w:proofErr w:type="gramEnd"/>
                  <w:r w:rsidRPr="00EC4FF3">
                    <w:rPr>
                      <w:rFonts w:ascii="細明體" w:eastAsia="細明體" w:hAnsi="細明體" w:cs="細明體"/>
                      <w:color w:val="363636"/>
                      <w:kern w:val="0"/>
                      <w:szCs w:val="24"/>
                    </w:rPr>
                    <w:t>之證明文件。</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五、</w:t>
                  </w:r>
                  <w:proofErr w:type="gramStart"/>
                  <w:r w:rsidRPr="00EC4FF3">
                    <w:rPr>
                      <w:rFonts w:ascii="細明體" w:eastAsia="細明體" w:hAnsi="細明體" w:cs="細明體"/>
                      <w:color w:val="363636"/>
                      <w:kern w:val="0"/>
                      <w:szCs w:val="24"/>
                    </w:rPr>
                    <w:t>資費經主管機關</w:t>
                  </w:r>
                  <w:proofErr w:type="gramEnd"/>
                  <w:r w:rsidRPr="00EC4FF3">
                    <w:rPr>
                      <w:rFonts w:ascii="細明體" w:eastAsia="細明體" w:hAnsi="細明體" w:cs="細明體"/>
                      <w:color w:val="363636"/>
                      <w:kern w:val="0"/>
                      <w:szCs w:val="24"/>
                    </w:rPr>
                    <w:t>同意備查之證明文件。</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六、公司營業規章經交通部核定之證明文件。</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七、經營者與其使用者訂立之服務契約範本經電信總局核定之影本。</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前項所定</w:t>
                  </w:r>
                  <w:proofErr w:type="gramStart"/>
                  <w:r w:rsidRPr="00EC4FF3">
                    <w:rPr>
                      <w:rFonts w:ascii="細明體" w:eastAsia="細明體" w:hAnsi="細明體" w:cs="細明體"/>
                      <w:color w:val="363636"/>
                      <w:kern w:val="0"/>
                      <w:szCs w:val="24"/>
                    </w:rPr>
                    <w:t>審驗，其審驗</w:t>
                  </w:r>
                  <w:proofErr w:type="gramEnd"/>
                  <w:r w:rsidRPr="00EC4FF3">
                    <w:rPr>
                      <w:rFonts w:ascii="細明體" w:eastAsia="細明體" w:hAnsi="細明體" w:cs="細明體"/>
                      <w:color w:val="363636"/>
                      <w:kern w:val="0"/>
                      <w:szCs w:val="24"/>
                    </w:rPr>
                    <w:t>項目及合格認定標準，由電信總局定之。</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24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固定通信業務之特許執照應載明下列事項：</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C4FF3">
                    <w:rPr>
                      <w:rFonts w:ascii="細明體" w:eastAsia="細明體" w:hAnsi="細明體" w:cs="細明體"/>
                      <w:color w:val="363636"/>
                      <w:kern w:val="0"/>
                      <w:szCs w:val="24"/>
                    </w:rPr>
                    <w:t>一</w:t>
                  </w:r>
                  <w:proofErr w:type="gramEnd"/>
                  <w:r w:rsidRPr="00EC4FF3">
                    <w:rPr>
                      <w:rFonts w:ascii="細明體" w:eastAsia="細明體" w:hAnsi="細明體" w:cs="細明體"/>
                      <w:color w:val="363636"/>
                      <w:kern w:val="0"/>
                      <w:szCs w:val="24"/>
                    </w:rPr>
                    <w:t xml:space="preserve">  經營者名稱、代表人及公司所在地。</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二  業務種類。</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三  資本總額及實收資本總額。</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四  營業區域。</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五  有效期間。</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六  發照日期。</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25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申請人應於取得特許執照之日起，六個月內開始營業，逾期交通部應廢止</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其特許，並不予退還履行保證金或由電信總局通知保證銀行履行保證責任</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；其籌設同意書及網路建設許可證之有效期間尚未屆滿者，並廢止其籌設</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同意及網路建設許可。</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26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固定通信業務之特許執照有效期間如下：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C4FF3">
                    <w:rPr>
                      <w:rFonts w:ascii="細明體" w:eastAsia="細明體" w:hAnsi="細明體" w:cs="細明體"/>
                      <w:color w:val="363636"/>
                      <w:kern w:val="0"/>
                      <w:szCs w:val="24"/>
                    </w:rPr>
                    <w:t>一</w:t>
                  </w:r>
                  <w:proofErr w:type="gramEnd"/>
                  <w:r w:rsidRPr="00EC4FF3">
                    <w:rPr>
                      <w:rFonts w:ascii="細明體" w:eastAsia="細明體" w:hAnsi="細明體" w:cs="細明體"/>
                      <w:color w:val="363636"/>
                      <w:kern w:val="0"/>
                      <w:szCs w:val="24"/>
                    </w:rPr>
                    <w:t xml:space="preserve">  綜合網路業務為二十五年。</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lastRenderedPageBreak/>
                    <w:t>二  市內網路業務為二十五年。</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三  長途網路業務為二十年。</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四  國際網路業務為二十年。</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五  市內、國內陸</w:t>
                  </w:r>
                  <w:proofErr w:type="gramStart"/>
                  <w:r w:rsidRPr="00EC4FF3">
                    <w:rPr>
                      <w:rFonts w:ascii="細明體" w:eastAsia="細明體" w:hAnsi="細明體" w:cs="細明體"/>
                      <w:color w:val="363636"/>
                      <w:kern w:val="0"/>
                      <w:szCs w:val="24"/>
                    </w:rPr>
                    <w:t>纜</w:t>
                  </w:r>
                  <w:proofErr w:type="gramEnd"/>
                  <w:r w:rsidRPr="00EC4FF3">
                    <w:rPr>
                      <w:rFonts w:ascii="細明體" w:eastAsia="細明體" w:hAnsi="細明體" w:cs="細明體"/>
                      <w:color w:val="363636"/>
                      <w:kern w:val="0"/>
                      <w:szCs w:val="24"/>
                    </w:rPr>
                    <w:t>電路出租業務為十五年。</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六  國際海纜電路出租業務為十五年。</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前項特許執照期限屆滿，有意繼續營運之經營者應於期限屆滿前六</w:t>
                  </w:r>
                  <w:proofErr w:type="gramStart"/>
                  <w:r w:rsidRPr="00EC4FF3">
                    <w:rPr>
                      <w:rFonts w:ascii="細明體" w:eastAsia="細明體" w:hAnsi="細明體" w:cs="細明體"/>
                      <w:color w:val="363636"/>
                      <w:kern w:val="0"/>
                      <w:szCs w:val="24"/>
                    </w:rPr>
                    <w:t>個</w:t>
                  </w:r>
                  <w:proofErr w:type="gramEnd"/>
                  <w:r w:rsidRPr="00EC4FF3">
                    <w:rPr>
                      <w:rFonts w:ascii="細明體" w:eastAsia="細明體" w:hAnsi="細明體" w:cs="細明體"/>
                      <w:color w:val="363636"/>
                      <w:kern w:val="0"/>
                      <w:szCs w:val="24"/>
                    </w:rPr>
                    <w:t>月起</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之三個月內，依規定向交通部申請核准後，重新換發特許執照；其審查項</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目及核准規定，由電信總局訂定報請交通部公告之。</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lastRenderedPageBreak/>
                    <w:t>第</w:t>
                  </w:r>
                  <w:r w:rsidRPr="00EC4FF3">
                    <w:rPr>
                      <w:rFonts w:ascii="Verdana" w:eastAsia="新細明體" w:hAnsi="Verdana" w:cs="新細明體"/>
                      <w:color w:val="363636"/>
                      <w:kern w:val="0"/>
                      <w:sz w:val="20"/>
                      <w:szCs w:val="20"/>
                    </w:rPr>
                    <w:t xml:space="preserve"> 27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綜合網路業務及市內網路業務申請人繳交之履行保證金，依下列規定分兩</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階段發還之：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一、於網路建設許可證有效期間內，完成其事業計畫書所定建設計畫之百</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分之二十五，並經</w:t>
                  </w:r>
                  <w:proofErr w:type="gramStart"/>
                  <w:r w:rsidRPr="00EC4FF3">
                    <w:rPr>
                      <w:rFonts w:ascii="細明體" w:eastAsia="細明體" w:hAnsi="細明體" w:cs="細明體"/>
                      <w:color w:val="363636"/>
                      <w:kern w:val="0"/>
                      <w:szCs w:val="24"/>
                    </w:rPr>
                    <w:t>電信總局審驗合格</w:t>
                  </w:r>
                  <w:proofErr w:type="gramEnd"/>
                  <w:r w:rsidRPr="00EC4FF3">
                    <w:rPr>
                      <w:rFonts w:ascii="細明體" w:eastAsia="細明體" w:hAnsi="細明體" w:cs="細明體"/>
                      <w:color w:val="363636"/>
                      <w:kern w:val="0"/>
                      <w:szCs w:val="24"/>
                    </w:rPr>
                    <w:t>後，得申請發還履行保證金之百</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分之五十，或申請通知保證銀行解除相當於履行保證金百分之五十之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保證責任。</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二、於網路建設許可證之有效期間內完成其事業計畫書所定建設計畫之百</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分之百，並經</w:t>
                  </w:r>
                  <w:proofErr w:type="gramStart"/>
                  <w:r w:rsidRPr="00EC4FF3">
                    <w:rPr>
                      <w:rFonts w:ascii="細明體" w:eastAsia="細明體" w:hAnsi="細明體" w:cs="細明體"/>
                      <w:color w:val="363636"/>
                      <w:kern w:val="0"/>
                      <w:szCs w:val="24"/>
                    </w:rPr>
                    <w:t>電信總局審驗合格</w:t>
                  </w:r>
                  <w:proofErr w:type="gramEnd"/>
                  <w:r w:rsidRPr="00EC4FF3">
                    <w:rPr>
                      <w:rFonts w:ascii="細明體" w:eastAsia="細明體" w:hAnsi="細明體" w:cs="細明體"/>
                      <w:color w:val="363636"/>
                      <w:kern w:val="0"/>
                      <w:szCs w:val="24"/>
                    </w:rPr>
                    <w:t>及開始營業後，得申請發還其餘百分</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之五十之履行保證金，或申請通知保證銀行解除相當於其餘百分之五</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十履行保證金之保證責任。</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國際海纜電路出租業務、長途網路業務及國際網路業務申請人繳交之履行</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保證金，申請人於網路建設許可證有效期間內，分別依第二十三條之二、</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第二十三條之四及第二十三條之五之規定申請取得特許執照及開始營業後</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，得申請發還或申請通知保證銀行解除履行保證責任。</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28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申請人或經營者違反相關法令規定，經交通部撤銷或廢止其籌設同意或特</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許者，除第十八條、第十九條、第二十一條及第二十五條</w:t>
                  </w:r>
                  <w:r w:rsidRPr="00EC4FF3">
                    <w:rPr>
                      <w:rFonts w:ascii="細明體" w:eastAsia="細明體" w:hAnsi="細明體" w:cs="細明體"/>
                      <w:color w:val="363636"/>
                      <w:kern w:val="0"/>
                      <w:szCs w:val="24"/>
                    </w:rPr>
                    <w:lastRenderedPageBreak/>
                    <w:t>已有規定外，不</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C4FF3">
                    <w:rPr>
                      <w:rFonts w:ascii="細明體" w:eastAsia="細明體" w:hAnsi="細明體" w:cs="細明體"/>
                      <w:color w:val="363636"/>
                      <w:kern w:val="0"/>
                      <w:szCs w:val="24"/>
                    </w:rPr>
                    <w:t>予退</w:t>
                  </w:r>
                  <w:proofErr w:type="gramEnd"/>
                  <w:r w:rsidRPr="00EC4FF3">
                    <w:rPr>
                      <w:rFonts w:ascii="細明體" w:eastAsia="細明體" w:hAnsi="細明體" w:cs="細明體"/>
                      <w:color w:val="363636"/>
                      <w:kern w:val="0"/>
                      <w:szCs w:val="24"/>
                    </w:rPr>
                    <w:t>還履行保證金，或由電信總局通知保證銀行履行保證責任。</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lastRenderedPageBreak/>
                    <w:t>第</w:t>
                  </w:r>
                  <w:r w:rsidRPr="00EC4FF3">
                    <w:rPr>
                      <w:rFonts w:ascii="Verdana" w:eastAsia="新細明體" w:hAnsi="Verdana" w:cs="新細明體"/>
                      <w:color w:val="363636"/>
                      <w:kern w:val="0"/>
                      <w:sz w:val="20"/>
                      <w:szCs w:val="20"/>
                    </w:rPr>
                    <w:t xml:space="preserve"> 29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籌設同意書、網路建設許可證、特許執照，如有遺失、毀損者，應敘明理</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由向電信總局申請補發；其所載事項有變更時，應向電信總局申請核准換</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發。</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30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籌設同意書、網路建設許可證、特許執照，不得轉讓、出租或出借。</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31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申請人取得特許執照前，得向既有經營者請求諮商網路接續、共用管線基</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C4FF3">
                    <w:rPr>
                      <w:rFonts w:ascii="細明體" w:eastAsia="細明體" w:hAnsi="細明體" w:cs="細明體"/>
                      <w:color w:val="363636"/>
                      <w:kern w:val="0"/>
                      <w:szCs w:val="24"/>
                    </w:rPr>
                    <w:t>礎</w:t>
                  </w:r>
                  <w:proofErr w:type="gramEnd"/>
                  <w:r w:rsidRPr="00EC4FF3">
                    <w:rPr>
                      <w:rFonts w:ascii="細明體" w:eastAsia="細明體" w:hAnsi="細明體" w:cs="細明體"/>
                      <w:color w:val="363636"/>
                      <w:kern w:val="0"/>
                      <w:szCs w:val="24"/>
                    </w:rPr>
                    <w:t>設施、出租電路、國際通信必要設施等相關事宜。</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前項諮商，其程序及方法由電信總局統一安排，既有經營者應配合之。</w:t>
                  </w:r>
                </w:p>
              </w:tc>
            </w:tr>
            <w:tr w:rsidR="00EC4FF3" w:rsidRPr="00EC4FF3">
              <w:trPr>
                <w:tblCellSpacing w:w="15" w:type="dxa"/>
                <w:jc w:val="center"/>
              </w:trPr>
              <w:tc>
                <w:tcPr>
                  <w:tcW w:w="0" w:type="auto"/>
                  <w:gridSpan w:val="2"/>
                  <w:vAlign w:val="center"/>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b/>
                      <w:bCs/>
                      <w:color w:val="363636"/>
                      <w:kern w:val="0"/>
                      <w:sz w:val="20"/>
                      <w:szCs w:val="20"/>
                    </w:rPr>
                    <w:t>   </w:t>
                  </w:r>
                  <w:r w:rsidRPr="00EC4FF3">
                    <w:rPr>
                      <w:rFonts w:ascii="Verdana" w:eastAsia="新細明體" w:hAnsi="Verdana" w:cs="新細明體"/>
                      <w:b/>
                      <w:bCs/>
                      <w:color w:val="363636"/>
                      <w:kern w:val="0"/>
                      <w:sz w:val="20"/>
                      <w:szCs w:val="20"/>
                    </w:rPr>
                    <w:t>第</w:t>
                  </w:r>
                  <w:r w:rsidRPr="00EC4FF3">
                    <w:rPr>
                      <w:rFonts w:ascii="Verdana" w:eastAsia="新細明體" w:hAnsi="Verdana" w:cs="新細明體"/>
                      <w:b/>
                      <w:bCs/>
                      <w:color w:val="363636"/>
                      <w:kern w:val="0"/>
                      <w:sz w:val="20"/>
                      <w:szCs w:val="20"/>
                    </w:rPr>
                    <w:t> </w:t>
                  </w:r>
                  <w:r w:rsidRPr="00EC4FF3">
                    <w:rPr>
                      <w:rFonts w:ascii="Verdana" w:eastAsia="新細明體" w:hAnsi="Verdana" w:cs="新細明體"/>
                      <w:b/>
                      <w:bCs/>
                      <w:color w:val="363636"/>
                      <w:kern w:val="0"/>
                      <w:sz w:val="20"/>
                      <w:szCs w:val="20"/>
                    </w:rPr>
                    <w:t>三</w:t>
                  </w:r>
                  <w:r w:rsidRPr="00EC4FF3">
                    <w:rPr>
                      <w:rFonts w:ascii="Verdana" w:eastAsia="新細明體" w:hAnsi="Verdana" w:cs="新細明體"/>
                      <w:b/>
                      <w:bCs/>
                      <w:color w:val="363636"/>
                      <w:kern w:val="0"/>
                      <w:sz w:val="20"/>
                      <w:szCs w:val="20"/>
                    </w:rPr>
                    <w:t> </w:t>
                  </w:r>
                  <w:r w:rsidRPr="00EC4FF3">
                    <w:rPr>
                      <w:rFonts w:ascii="Verdana" w:eastAsia="新細明體" w:hAnsi="Verdana" w:cs="新細明體"/>
                      <w:b/>
                      <w:bCs/>
                      <w:color w:val="363636"/>
                      <w:kern w:val="0"/>
                      <w:sz w:val="20"/>
                      <w:szCs w:val="20"/>
                    </w:rPr>
                    <w:t>章</w:t>
                  </w:r>
                  <w:r w:rsidRPr="00EC4FF3">
                    <w:rPr>
                      <w:rFonts w:ascii="Verdana" w:eastAsia="新細明體" w:hAnsi="Verdana" w:cs="新細明體"/>
                      <w:b/>
                      <w:bCs/>
                      <w:color w:val="363636"/>
                      <w:kern w:val="0"/>
                      <w:sz w:val="20"/>
                      <w:szCs w:val="20"/>
                    </w:rPr>
                    <w:t> </w:t>
                  </w:r>
                  <w:r w:rsidRPr="00EC4FF3">
                    <w:rPr>
                      <w:rFonts w:ascii="Verdana" w:eastAsia="新細明體" w:hAnsi="Verdana" w:cs="新細明體"/>
                      <w:b/>
                      <w:bCs/>
                      <w:color w:val="363636"/>
                      <w:kern w:val="0"/>
                      <w:sz w:val="20"/>
                      <w:szCs w:val="20"/>
                    </w:rPr>
                    <w:t>營運管理</w:t>
                  </w:r>
                </w:p>
              </w:tc>
            </w:tr>
            <w:tr w:rsidR="00EC4FF3" w:rsidRPr="00EC4FF3">
              <w:trPr>
                <w:tblCellSpacing w:w="15" w:type="dxa"/>
                <w:jc w:val="center"/>
              </w:trPr>
              <w:tc>
                <w:tcPr>
                  <w:tcW w:w="0" w:type="auto"/>
                  <w:gridSpan w:val="2"/>
                  <w:vAlign w:val="center"/>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b/>
                      <w:bCs/>
                      <w:color w:val="363636"/>
                      <w:kern w:val="0"/>
                      <w:sz w:val="20"/>
                      <w:szCs w:val="20"/>
                    </w:rPr>
                    <w:t>      </w:t>
                  </w:r>
                  <w:r w:rsidRPr="00EC4FF3">
                    <w:rPr>
                      <w:rFonts w:ascii="Verdana" w:eastAsia="新細明體" w:hAnsi="Verdana" w:cs="新細明體"/>
                      <w:b/>
                      <w:bCs/>
                      <w:color w:val="363636"/>
                      <w:kern w:val="0"/>
                      <w:sz w:val="20"/>
                      <w:szCs w:val="20"/>
                    </w:rPr>
                    <w:t>第</w:t>
                  </w:r>
                  <w:r w:rsidRPr="00EC4FF3">
                    <w:rPr>
                      <w:rFonts w:ascii="Verdana" w:eastAsia="新細明體" w:hAnsi="Verdana" w:cs="新細明體"/>
                      <w:b/>
                      <w:bCs/>
                      <w:color w:val="363636"/>
                      <w:kern w:val="0"/>
                      <w:sz w:val="20"/>
                      <w:szCs w:val="20"/>
                    </w:rPr>
                    <w:t> </w:t>
                  </w:r>
                  <w:r w:rsidRPr="00EC4FF3">
                    <w:rPr>
                      <w:rFonts w:ascii="Verdana" w:eastAsia="新細明體" w:hAnsi="Verdana" w:cs="新細明體"/>
                      <w:b/>
                      <w:bCs/>
                      <w:color w:val="363636"/>
                      <w:kern w:val="0"/>
                      <w:sz w:val="20"/>
                      <w:szCs w:val="20"/>
                    </w:rPr>
                    <w:t>一</w:t>
                  </w:r>
                  <w:r w:rsidRPr="00EC4FF3">
                    <w:rPr>
                      <w:rFonts w:ascii="Verdana" w:eastAsia="新細明體" w:hAnsi="Verdana" w:cs="新細明體"/>
                      <w:b/>
                      <w:bCs/>
                      <w:color w:val="363636"/>
                      <w:kern w:val="0"/>
                      <w:sz w:val="20"/>
                      <w:szCs w:val="20"/>
                    </w:rPr>
                    <w:t> </w:t>
                  </w:r>
                  <w:r w:rsidRPr="00EC4FF3">
                    <w:rPr>
                      <w:rFonts w:ascii="Verdana" w:eastAsia="新細明體" w:hAnsi="Verdana" w:cs="新細明體"/>
                      <w:b/>
                      <w:bCs/>
                      <w:color w:val="363636"/>
                      <w:kern w:val="0"/>
                      <w:sz w:val="20"/>
                      <w:szCs w:val="20"/>
                    </w:rPr>
                    <w:t>節</w:t>
                  </w:r>
                  <w:r w:rsidRPr="00EC4FF3">
                    <w:rPr>
                      <w:rFonts w:ascii="Verdana" w:eastAsia="新細明體" w:hAnsi="Verdana" w:cs="新細明體"/>
                      <w:b/>
                      <w:bCs/>
                      <w:color w:val="363636"/>
                      <w:kern w:val="0"/>
                      <w:sz w:val="20"/>
                      <w:szCs w:val="20"/>
                    </w:rPr>
                    <w:t> </w:t>
                  </w:r>
                  <w:r w:rsidRPr="00EC4FF3">
                    <w:rPr>
                      <w:rFonts w:ascii="Verdana" w:eastAsia="新細明體" w:hAnsi="Verdana" w:cs="新細明體"/>
                      <w:b/>
                      <w:bCs/>
                      <w:color w:val="363636"/>
                      <w:kern w:val="0"/>
                      <w:sz w:val="20"/>
                      <w:szCs w:val="20"/>
                    </w:rPr>
                    <w:t>通則</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32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經營者應依其事業計畫書內容辦理，其內容如有異動時，應敘明理由報請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電信總局核准。但其變更不得影響履行保證金及原計畫書所載之所有責任</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前項應報請核准之異動項目，由電信總局定之。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第一項及第二項之規定，於申請人經交通部審查核可後取得特許執照前，</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亦適用之。</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32-1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經營者未經電信總局許可，不得建設固定通信網路設備之一部或全部。</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前項經營者取得特許執照後，其通信網路另有增設或變更時，應檢具詳細</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網路建設計畫，向電信總局申請許可，並於完成增設或變更後，向電信總</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局申請通信網路</w:t>
                  </w:r>
                  <w:proofErr w:type="gramStart"/>
                  <w:r w:rsidRPr="00EC4FF3">
                    <w:rPr>
                      <w:rFonts w:ascii="細明體" w:eastAsia="細明體" w:hAnsi="細明體" w:cs="細明體"/>
                      <w:color w:val="363636"/>
                      <w:kern w:val="0"/>
                      <w:szCs w:val="24"/>
                    </w:rPr>
                    <w:t>技術審驗</w:t>
                  </w:r>
                  <w:proofErr w:type="gramEnd"/>
                  <w:r w:rsidRPr="00EC4FF3">
                    <w:rPr>
                      <w:rFonts w:ascii="細明體" w:eastAsia="細明體" w:hAnsi="細明體" w:cs="細明體"/>
                      <w:color w:val="363636"/>
                      <w:kern w:val="0"/>
                      <w:szCs w:val="24"/>
                    </w:rPr>
                    <w:t>，</w:t>
                  </w:r>
                  <w:proofErr w:type="gramStart"/>
                  <w:r w:rsidRPr="00EC4FF3">
                    <w:rPr>
                      <w:rFonts w:ascii="細明體" w:eastAsia="細明體" w:hAnsi="細明體" w:cs="細明體"/>
                      <w:color w:val="363636"/>
                      <w:kern w:val="0"/>
                      <w:szCs w:val="24"/>
                    </w:rPr>
                    <w:t>經審驗合格</w:t>
                  </w:r>
                  <w:proofErr w:type="gramEnd"/>
                  <w:r w:rsidRPr="00EC4FF3">
                    <w:rPr>
                      <w:rFonts w:ascii="細明體" w:eastAsia="細明體" w:hAnsi="細明體" w:cs="細明體"/>
                      <w:color w:val="363636"/>
                      <w:kern w:val="0"/>
                      <w:szCs w:val="24"/>
                    </w:rPr>
                    <w:t>後，由電信總局發給</w:t>
                  </w:r>
                  <w:proofErr w:type="gramStart"/>
                  <w:r w:rsidRPr="00EC4FF3">
                    <w:rPr>
                      <w:rFonts w:ascii="細明體" w:eastAsia="細明體" w:hAnsi="細明體" w:cs="細明體"/>
                      <w:color w:val="363636"/>
                      <w:kern w:val="0"/>
                      <w:szCs w:val="24"/>
                    </w:rPr>
                    <w:t>網路審驗合格</w:t>
                  </w:r>
                  <w:proofErr w:type="gramEnd"/>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證明。</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33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經營者設置之電信設備，應符合電信設備技術規範。</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lastRenderedPageBreak/>
                    <w:t>前項電信設備技術規範，由電信總局定之。</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lastRenderedPageBreak/>
                    <w:t>第</w:t>
                  </w:r>
                  <w:r w:rsidRPr="00EC4FF3">
                    <w:rPr>
                      <w:rFonts w:ascii="Verdana" w:eastAsia="新細明體" w:hAnsi="Verdana" w:cs="新細明體"/>
                      <w:color w:val="363636"/>
                      <w:kern w:val="0"/>
                      <w:sz w:val="20"/>
                      <w:szCs w:val="20"/>
                    </w:rPr>
                    <w:t xml:space="preserve"> 34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經營者設置之電信設備應符合下列規定：</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C4FF3">
                    <w:rPr>
                      <w:rFonts w:ascii="細明體" w:eastAsia="細明體" w:hAnsi="細明體" w:cs="細明體"/>
                      <w:color w:val="363636"/>
                      <w:kern w:val="0"/>
                      <w:szCs w:val="24"/>
                    </w:rPr>
                    <w:t>一</w:t>
                  </w:r>
                  <w:proofErr w:type="gramEnd"/>
                  <w:r w:rsidRPr="00EC4FF3">
                    <w:rPr>
                      <w:rFonts w:ascii="細明體" w:eastAsia="細明體" w:hAnsi="細明體" w:cs="細明體"/>
                      <w:color w:val="363636"/>
                      <w:kern w:val="0"/>
                      <w:szCs w:val="24"/>
                    </w:rPr>
                    <w:t xml:space="preserve">  足以保障其處理用戶通信之秘密。</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二  維持電信服務之適當品質。</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三  不致損害使用者或其他公眾通信網路設備。</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四  通信設備與其他公眾通信網路</w:t>
                  </w:r>
                  <w:proofErr w:type="gramStart"/>
                  <w:r w:rsidRPr="00EC4FF3">
                    <w:rPr>
                      <w:rFonts w:ascii="細明體" w:eastAsia="細明體" w:hAnsi="細明體" w:cs="細明體"/>
                      <w:color w:val="363636"/>
                      <w:kern w:val="0"/>
                      <w:szCs w:val="24"/>
                    </w:rPr>
                    <w:t>設備間應有</w:t>
                  </w:r>
                  <w:proofErr w:type="gramEnd"/>
                  <w:r w:rsidRPr="00EC4FF3">
                    <w:rPr>
                      <w:rFonts w:ascii="細明體" w:eastAsia="細明體" w:hAnsi="細明體" w:cs="細明體"/>
                      <w:color w:val="363636"/>
                      <w:kern w:val="0"/>
                      <w:szCs w:val="24"/>
                    </w:rPr>
                    <w:t>明確之責任分界點。</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五  通信設備與用戶設置之電信</w:t>
                  </w:r>
                  <w:proofErr w:type="gramStart"/>
                  <w:r w:rsidRPr="00EC4FF3">
                    <w:rPr>
                      <w:rFonts w:ascii="細明體" w:eastAsia="細明體" w:hAnsi="細明體" w:cs="細明體"/>
                      <w:color w:val="363636"/>
                      <w:kern w:val="0"/>
                      <w:szCs w:val="24"/>
                    </w:rPr>
                    <w:t>設備間應有</w:t>
                  </w:r>
                  <w:proofErr w:type="gramEnd"/>
                  <w:r w:rsidRPr="00EC4FF3">
                    <w:rPr>
                      <w:rFonts w:ascii="細明體" w:eastAsia="細明體" w:hAnsi="細明體" w:cs="細明體"/>
                      <w:color w:val="363636"/>
                      <w:kern w:val="0"/>
                      <w:szCs w:val="24"/>
                    </w:rPr>
                    <w:t>明確之責任分界點。</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前項第四款之責任分界點，經營者應報請電信總局備查。</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第一項第五款之責任分界點，依用戶建築物屋內外電信設備裝置規則第十</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五條之相關規定。</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35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違反前二條規定者，電信總局得限期命其改善或限制其使用。</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36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經營者或取得籌設同意書者從事其固定通信網路管線基礎設施之建設時，</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依其他法令應取得相關證照、主管機關或管理機關之核准、同意者，應依</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其他有關法令規定辦理。</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經營者或取得籌設同意書者為建設其固定通信網路之必要，須與公用事業</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所有管線或相關設施附掛線路者，應依有關法令規定辦理。</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前項附掛線路所需費用及相關條件，除相關法令另有規定外，應由經營者</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或取得籌設同意書者與公用事業機構依公平合理原則協議之。如協議不成</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者，電信總局得依申請會商該公用事業目的事業主管機關協調之。</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37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經營者或取得籌設同意書者從事其固定通信網路管線基礎設施之建設時，</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於通信網路瓶頸所在設施，無法於合理期間自行建置或無其他可行技術替</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C4FF3">
                    <w:rPr>
                      <w:rFonts w:ascii="細明體" w:eastAsia="細明體" w:hAnsi="細明體" w:cs="細明體"/>
                      <w:color w:val="363636"/>
                      <w:kern w:val="0"/>
                      <w:szCs w:val="24"/>
                    </w:rPr>
                    <w:t>代者</w:t>
                  </w:r>
                  <w:proofErr w:type="gramEnd"/>
                  <w:r w:rsidRPr="00EC4FF3">
                    <w:rPr>
                      <w:rFonts w:ascii="細明體" w:eastAsia="細明體" w:hAnsi="細明體" w:cs="細明體"/>
                      <w:color w:val="363636"/>
                      <w:kern w:val="0"/>
                      <w:szCs w:val="24"/>
                    </w:rPr>
                    <w:t>，得向瓶頸所在設施之固定通信業務經營者，請求共用管線基礎設施</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lastRenderedPageBreak/>
                    <w:t>前項共用管線基礎設施之請求，被請求之經營者無正當理由，不得拒絕之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w:t>
                  </w:r>
                  <w:proofErr w:type="gramStart"/>
                  <w:r w:rsidRPr="00EC4FF3">
                    <w:rPr>
                      <w:rFonts w:ascii="細明體" w:eastAsia="細明體" w:hAnsi="細明體" w:cs="細明體"/>
                      <w:color w:val="363636"/>
                      <w:kern w:val="0"/>
                      <w:szCs w:val="24"/>
                    </w:rPr>
                    <w:t>相互間應以</w:t>
                  </w:r>
                  <w:proofErr w:type="gramEnd"/>
                  <w:r w:rsidRPr="00EC4FF3">
                    <w:rPr>
                      <w:rFonts w:ascii="細明體" w:eastAsia="細明體" w:hAnsi="細明體" w:cs="細明體"/>
                      <w:color w:val="363636"/>
                      <w:kern w:val="0"/>
                      <w:szCs w:val="24"/>
                    </w:rPr>
                    <w:t>平等互惠之方式，協商共用管線基礎設施之收費條件、</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共用部分之管理維護、共用部分發生毀損或通信中斷情事之處理方式、通</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信品質與安全、雙方責任分界點及其他有關事項。雙方簽訂共用協議書後</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，應於一個月內報請電信總局備查。若無法於開始協商後三</w:t>
                  </w:r>
                  <w:proofErr w:type="gramStart"/>
                  <w:r w:rsidRPr="00EC4FF3">
                    <w:rPr>
                      <w:rFonts w:ascii="細明體" w:eastAsia="細明體" w:hAnsi="細明體" w:cs="細明體"/>
                      <w:color w:val="363636"/>
                      <w:kern w:val="0"/>
                      <w:szCs w:val="24"/>
                    </w:rPr>
                    <w:t>個</w:t>
                  </w:r>
                  <w:proofErr w:type="gramEnd"/>
                  <w:r w:rsidRPr="00EC4FF3">
                    <w:rPr>
                      <w:rFonts w:ascii="細明體" w:eastAsia="細明體" w:hAnsi="細明體" w:cs="細明體"/>
                      <w:color w:val="363636"/>
                      <w:kern w:val="0"/>
                      <w:szCs w:val="24"/>
                    </w:rPr>
                    <w:t>月內達成協</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議或未能於請求後一個月內開始協商者，任一方得請求電信總局調處之。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第一項所稱之瓶頸所在設施，由電信總局報請交通部核定之。</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lastRenderedPageBreak/>
                    <w:t>第</w:t>
                  </w:r>
                  <w:r w:rsidRPr="00EC4FF3">
                    <w:rPr>
                      <w:rFonts w:ascii="Verdana" w:eastAsia="新細明體" w:hAnsi="Verdana" w:cs="新細明體"/>
                      <w:color w:val="363636"/>
                      <w:kern w:val="0"/>
                      <w:sz w:val="20"/>
                      <w:szCs w:val="20"/>
                    </w:rPr>
                    <w:t xml:space="preserve"> 38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為有效運用通信網路資源，經營者或取得籌設同意書者應依電信總局之命</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令共同成立管線基礎建設協商小組，協商管線基礎設施之規劃、建設及共</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用事項。</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39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經營者或取得籌設同意書者為建設微波鏈路及固定無線接取設備所需申請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使用之頻率，交通部得視相關技術發展及頻率資源使用情形依規定核配之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經營者經撤銷或廢止特許時，交通部撤銷或廢止無線電頻率使用之核准。</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40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市內網路業務經營者設置建築物電信設備及空間，應依建築物電信設備及</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空間設置使用管理規則之規定辦理。</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41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經營者應</w:t>
                  </w:r>
                  <w:proofErr w:type="gramStart"/>
                  <w:r w:rsidRPr="00EC4FF3">
                    <w:rPr>
                      <w:rFonts w:ascii="細明體" w:eastAsia="細明體" w:hAnsi="細明體" w:cs="細明體"/>
                      <w:color w:val="363636"/>
                      <w:kern w:val="0"/>
                      <w:szCs w:val="24"/>
                    </w:rPr>
                    <w:t>遴</w:t>
                  </w:r>
                  <w:proofErr w:type="gramEnd"/>
                  <w:r w:rsidRPr="00EC4FF3">
                    <w:rPr>
                      <w:rFonts w:ascii="細明體" w:eastAsia="細明體" w:hAnsi="細明體" w:cs="細明體"/>
                      <w:color w:val="363636"/>
                      <w:kern w:val="0"/>
                      <w:szCs w:val="24"/>
                    </w:rPr>
                    <w:t>用領有高級電信工程人員資格證之人員，負責及監督通信網路</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之施工、維護及運用，並於施工日誌及維護日誌認可簽署。</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前項施工及維護日誌應至少保存一年，電信總局派員查核時，經營者應提</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供之。</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42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固定通信業務資費之訂定，由經營者依電信法第二十六條</w:t>
                  </w:r>
                  <w:r w:rsidRPr="00EC4FF3">
                    <w:rPr>
                      <w:rFonts w:ascii="細明體" w:eastAsia="細明體" w:hAnsi="細明體" w:cs="細明體"/>
                      <w:color w:val="363636"/>
                      <w:kern w:val="0"/>
                      <w:szCs w:val="24"/>
                    </w:rPr>
                    <w:lastRenderedPageBreak/>
                    <w:t>之規定辦理。</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lastRenderedPageBreak/>
                    <w:t>第</w:t>
                  </w:r>
                  <w:r w:rsidRPr="00EC4FF3">
                    <w:rPr>
                      <w:rFonts w:ascii="Verdana" w:eastAsia="新細明體" w:hAnsi="Verdana" w:cs="新細明體"/>
                      <w:color w:val="363636"/>
                      <w:kern w:val="0"/>
                      <w:sz w:val="20"/>
                      <w:szCs w:val="20"/>
                    </w:rPr>
                    <w:t xml:space="preserve"> 43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經營者相互間，有一方要求與他方之網路互連時，除法令另有規定者外，</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他方不得拒絕。</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前項網路互連之安排、費率計算、協商及調處程序等相關事項，依電信總</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局所定電信事業網路互連管理辦法之規定辦理。</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44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為保障國民基本通信權益，交通部得指定經營者提供電信普及服務，被指</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定之經營者不得拒絕之。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經營者應依規定分攤電信普及服務所生之虧損及其必要之管理費用。</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電信普及服務之具體項目、普及服務地區之核定、提供普及服務經營者之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指定、普及服務淨成本之核算及分攤方式、普及服務提繳金額比例、申請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補助程序等相關事項，依交通部所定電信普及服務管理辦法辦理。</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45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固定通信業務市場主導者，不得有下列行為：</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一  對他電信事業或用戶所提供電信服務之價格或方式，為不當之決定、</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維持或變更。</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二  無正當理由，拒絕他電信事業或用戶承租電路之請求。</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三  無正當理由，對他電信事業或用戶給予差別待遇。</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四  無正當理由，拒絕他電信事業或用戶協商或測試之請求。</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五  其他濫用市場地位之行為。</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46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經營者應依其所經營之業務，建立分別計算資產、收入、成本及盈虧之會</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計制度。</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前項會計制度之建立，經營者應提供市內網路業務、長途網路業務、國際</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網路業務及電路出租業務與細分化網路元件之成本。</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47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經營者之會計制度及會計處理，應依交通部所定第一類電信事業會計制度</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及會計處理準則辦理。</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lastRenderedPageBreak/>
                    <w:t>第</w:t>
                  </w:r>
                  <w:r w:rsidRPr="00EC4FF3">
                    <w:rPr>
                      <w:rFonts w:ascii="Verdana" w:eastAsia="新細明體" w:hAnsi="Verdana" w:cs="新細明體"/>
                      <w:color w:val="363636"/>
                      <w:kern w:val="0"/>
                      <w:sz w:val="20"/>
                      <w:szCs w:val="20"/>
                    </w:rPr>
                    <w:t xml:space="preserve"> 48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經營者應於每一會計年度終了後四</w:t>
                  </w:r>
                  <w:proofErr w:type="gramStart"/>
                  <w:r w:rsidRPr="00EC4FF3">
                    <w:rPr>
                      <w:rFonts w:ascii="細明體" w:eastAsia="細明體" w:hAnsi="細明體" w:cs="細明體"/>
                      <w:color w:val="363636"/>
                      <w:kern w:val="0"/>
                      <w:szCs w:val="24"/>
                    </w:rPr>
                    <w:t>個</w:t>
                  </w:r>
                  <w:proofErr w:type="gramEnd"/>
                  <w:r w:rsidRPr="00EC4FF3">
                    <w:rPr>
                      <w:rFonts w:ascii="細明體" w:eastAsia="細明體" w:hAnsi="細明體" w:cs="細明體"/>
                      <w:color w:val="363636"/>
                      <w:kern w:val="0"/>
                      <w:szCs w:val="24"/>
                    </w:rPr>
                    <w:t>月內將其業務、財務及電信設備相關</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資料，報請電信總局備查；經營者所提報之各項資料不得為虛偽之記載。</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前項所定相關資料之提報種類、內容、格式及方法，由電信總局定之。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電信總局必要時，得命經營者提出有關業務、財務及電信設備相關資料，</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經營者不得拒絕之。</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49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經營者對於調查或蒐集證據，並依法律程序查詢電信之</w:t>
                  </w:r>
                  <w:proofErr w:type="gramStart"/>
                  <w:r w:rsidRPr="00EC4FF3">
                    <w:rPr>
                      <w:rFonts w:ascii="細明體" w:eastAsia="細明體" w:hAnsi="細明體" w:cs="細明體"/>
                      <w:color w:val="363636"/>
                      <w:kern w:val="0"/>
                      <w:szCs w:val="24"/>
                    </w:rPr>
                    <w:t>有無及其</w:t>
                  </w:r>
                  <w:proofErr w:type="gramEnd"/>
                  <w:r w:rsidRPr="00EC4FF3">
                    <w:rPr>
                      <w:rFonts w:ascii="細明體" w:eastAsia="細明體" w:hAnsi="細明體" w:cs="細明體"/>
                      <w:color w:val="363636"/>
                      <w:kern w:val="0"/>
                      <w:szCs w:val="24"/>
                    </w:rPr>
                    <w:t>內容者，</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應提供之。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前項電信內容之監察事項，依通訊保障及監察法規定辦理之。</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49-1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經營者應核對及登錄其用戶之資料，並至少保存至服務契約終止後一年；</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有關機關依法查詢時，經營者應提供之。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前項用戶之資料包括用戶姓名、身分證統一編號、地址及所指配號碼等資</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料。</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50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經營者應就其服務有關之條件，訂定營業規章，報請電信總局轉請交通部</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核准後公告實施，並備置於各營業場所及網站供消費者審閱；變更時亦同</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前項營業規章，應訂定公平合理之服務條件，並應載明下列事項：</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一、經營者提供服務之項目。</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二、各項服務收費標準及調整費用之條件。</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三、用戶基本資料利用之限制及條件。</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四、經營者經受撤銷或廢止特許，或暫停或終止其營業足以對用戶權益產</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生損害時，對用戶之賠償方式。</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五、因電信機線設備障礙、阻斷，以致發生錯誤、</w:t>
                  </w:r>
                  <w:proofErr w:type="gramStart"/>
                  <w:r w:rsidRPr="00EC4FF3">
                    <w:rPr>
                      <w:rFonts w:ascii="細明體" w:eastAsia="細明體" w:hAnsi="細明體" w:cs="細明體"/>
                      <w:color w:val="363636"/>
                      <w:kern w:val="0"/>
                      <w:szCs w:val="24"/>
                    </w:rPr>
                    <w:t>遲滯、</w:t>
                  </w:r>
                  <w:proofErr w:type="gramEnd"/>
                  <w:r w:rsidRPr="00EC4FF3">
                    <w:rPr>
                      <w:rFonts w:ascii="細明體" w:eastAsia="細明體" w:hAnsi="細明體" w:cs="細明體"/>
                      <w:color w:val="363636"/>
                      <w:kern w:val="0"/>
                      <w:szCs w:val="24"/>
                    </w:rPr>
                    <w:t>中斷，或不能傳</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    </w:t>
                  </w:r>
                  <w:proofErr w:type="gramStart"/>
                  <w:r w:rsidRPr="00EC4FF3">
                    <w:rPr>
                      <w:rFonts w:ascii="細明體" w:eastAsia="細明體" w:hAnsi="細明體" w:cs="細明體"/>
                      <w:color w:val="363636"/>
                      <w:kern w:val="0"/>
                      <w:szCs w:val="24"/>
                    </w:rPr>
                    <w:t>遞而造成</w:t>
                  </w:r>
                  <w:proofErr w:type="gramEnd"/>
                  <w:r w:rsidRPr="00EC4FF3">
                    <w:rPr>
                      <w:rFonts w:ascii="細明體" w:eastAsia="細明體" w:hAnsi="細明體" w:cs="細明體"/>
                      <w:color w:val="363636"/>
                      <w:kern w:val="0"/>
                      <w:szCs w:val="24"/>
                    </w:rPr>
                    <w:t>損害時之處理方式。</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六、對用戶申訴之處理及其他與使用者權益有關之項目。</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lastRenderedPageBreak/>
                    <w:t>七、其他服務條件。</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營業規章有損害消費者權益或顯失公平之情事，電信總局得限期命電信事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業變更之。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經營者與其用戶訂定之服務契約範本，應載明第二項各款事項，於實施前</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報請電信總局核定，並不得違反電信法令及營業規章之規定；變更時亦同</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經營者與其用戶間服務契約範本之變更或修正，應於實施前以媒體公告其</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內容。</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lastRenderedPageBreak/>
                    <w:t>第</w:t>
                  </w:r>
                  <w:r w:rsidRPr="00EC4FF3">
                    <w:rPr>
                      <w:rFonts w:ascii="Verdana" w:eastAsia="新細明體" w:hAnsi="Verdana" w:cs="新細明體"/>
                      <w:color w:val="363636"/>
                      <w:kern w:val="0"/>
                      <w:sz w:val="20"/>
                      <w:szCs w:val="20"/>
                    </w:rPr>
                    <w:t xml:space="preserve"> 51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經營者應公平提供服務，無正當理由，不得拒絕受理民眾請求在其核准經</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營之營業區域內提供固定通信業務之服務。</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52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經營者與其用戶間服務契約範本之變更或修正，應於實施前以媒體公告其</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內容。</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53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用戶有拒絕或遲延給付資費之情事，經營者應定相當期限催告用戶給付積</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欠之資費，並應告知用戶未於所定期限內給付積欠之資費時，將依服務</w:t>
                  </w:r>
                  <w:proofErr w:type="gramStart"/>
                  <w:r w:rsidRPr="00EC4FF3">
                    <w:rPr>
                      <w:rFonts w:ascii="細明體" w:eastAsia="細明體" w:hAnsi="細明體" w:cs="細明體"/>
                      <w:color w:val="363636"/>
                      <w:kern w:val="0"/>
                      <w:szCs w:val="24"/>
                    </w:rPr>
                    <w:t>契</w:t>
                  </w:r>
                  <w:proofErr w:type="gramEnd"/>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約之約定停止提供服務。                                          </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在前項催告期限屆滿前，經營者無正當理由不得停止提供通信服務。</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54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（刪除）</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55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經營者所經營之固定通信網路，其客戶服務品質及網路性能服務品質，應</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 xml:space="preserve">符合電信總局所定服務品質規範。                                  </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電信總局得視實際需要，自行或委託民間團體進行評鑑，並得定期公告各</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經營者服務品質之評鑑報告。</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56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經營者暫停或終止其全部或一部之營業時，應於預定暫停或終止日前六</w:t>
                  </w:r>
                  <w:proofErr w:type="gramStart"/>
                  <w:r w:rsidRPr="00EC4FF3">
                    <w:rPr>
                      <w:rFonts w:ascii="細明體" w:eastAsia="細明體" w:hAnsi="細明體" w:cs="細明體"/>
                      <w:color w:val="363636"/>
                      <w:kern w:val="0"/>
                      <w:szCs w:val="24"/>
                    </w:rPr>
                    <w:t>個</w:t>
                  </w:r>
                  <w:proofErr w:type="gramEnd"/>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月報請交通部核准，並應於預定暫停或終止日前三個月通知用戶。</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經營者經交通部核准終止其業務之全部時，交通部應廢止</w:t>
                  </w:r>
                  <w:r w:rsidRPr="00EC4FF3">
                    <w:rPr>
                      <w:rFonts w:ascii="細明體" w:eastAsia="細明體" w:hAnsi="細明體" w:cs="細明體"/>
                      <w:color w:val="363636"/>
                      <w:kern w:val="0"/>
                      <w:szCs w:val="24"/>
                    </w:rPr>
                    <w:lastRenderedPageBreak/>
                    <w:t>其特許。</w:t>
                  </w:r>
                </w:p>
              </w:tc>
            </w:tr>
            <w:tr w:rsidR="00EC4FF3" w:rsidRPr="00EC4FF3">
              <w:trPr>
                <w:tblCellSpacing w:w="15" w:type="dxa"/>
                <w:jc w:val="center"/>
              </w:trPr>
              <w:tc>
                <w:tcPr>
                  <w:tcW w:w="0" w:type="auto"/>
                  <w:gridSpan w:val="2"/>
                  <w:vAlign w:val="center"/>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b/>
                      <w:bCs/>
                      <w:color w:val="363636"/>
                      <w:kern w:val="0"/>
                      <w:sz w:val="20"/>
                      <w:szCs w:val="20"/>
                    </w:rPr>
                    <w:lastRenderedPageBreak/>
                    <w:t>      </w:t>
                  </w:r>
                  <w:r w:rsidRPr="00EC4FF3">
                    <w:rPr>
                      <w:rFonts w:ascii="Verdana" w:eastAsia="新細明體" w:hAnsi="Verdana" w:cs="新細明體"/>
                      <w:b/>
                      <w:bCs/>
                      <w:color w:val="363636"/>
                      <w:kern w:val="0"/>
                      <w:sz w:val="20"/>
                      <w:szCs w:val="20"/>
                    </w:rPr>
                    <w:t>第</w:t>
                  </w:r>
                  <w:r w:rsidRPr="00EC4FF3">
                    <w:rPr>
                      <w:rFonts w:ascii="Verdana" w:eastAsia="新細明體" w:hAnsi="Verdana" w:cs="新細明體"/>
                      <w:b/>
                      <w:bCs/>
                      <w:color w:val="363636"/>
                      <w:kern w:val="0"/>
                      <w:sz w:val="20"/>
                      <w:szCs w:val="20"/>
                    </w:rPr>
                    <w:t> </w:t>
                  </w:r>
                  <w:r w:rsidRPr="00EC4FF3">
                    <w:rPr>
                      <w:rFonts w:ascii="Verdana" w:eastAsia="新細明體" w:hAnsi="Verdana" w:cs="新細明體"/>
                      <w:b/>
                      <w:bCs/>
                      <w:color w:val="363636"/>
                      <w:kern w:val="0"/>
                      <w:sz w:val="20"/>
                      <w:szCs w:val="20"/>
                    </w:rPr>
                    <w:t>二</w:t>
                  </w:r>
                  <w:r w:rsidRPr="00EC4FF3">
                    <w:rPr>
                      <w:rFonts w:ascii="Verdana" w:eastAsia="新細明體" w:hAnsi="Verdana" w:cs="新細明體"/>
                      <w:b/>
                      <w:bCs/>
                      <w:color w:val="363636"/>
                      <w:kern w:val="0"/>
                      <w:sz w:val="20"/>
                      <w:szCs w:val="20"/>
                    </w:rPr>
                    <w:t> </w:t>
                  </w:r>
                  <w:r w:rsidRPr="00EC4FF3">
                    <w:rPr>
                      <w:rFonts w:ascii="Verdana" w:eastAsia="新細明體" w:hAnsi="Verdana" w:cs="新細明體"/>
                      <w:b/>
                      <w:bCs/>
                      <w:color w:val="363636"/>
                      <w:kern w:val="0"/>
                      <w:sz w:val="20"/>
                      <w:szCs w:val="20"/>
                    </w:rPr>
                    <w:t>節</w:t>
                  </w:r>
                  <w:r w:rsidRPr="00EC4FF3">
                    <w:rPr>
                      <w:rFonts w:ascii="Verdana" w:eastAsia="新細明體" w:hAnsi="Verdana" w:cs="新細明體"/>
                      <w:b/>
                      <w:bCs/>
                      <w:color w:val="363636"/>
                      <w:kern w:val="0"/>
                      <w:sz w:val="20"/>
                      <w:szCs w:val="20"/>
                    </w:rPr>
                    <w:t> </w:t>
                  </w:r>
                  <w:r w:rsidRPr="00EC4FF3">
                    <w:rPr>
                      <w:rFonts w:ascii="Verdana" w:eastAsia="新細明體" w:hAnsi="Verdana" w:cs="新細明體"/>
                      <w:b/>
                      <w:bCs/>
                      <w:color w:val="363636"/>
                      <w:kern w:val="0"/>
                      <w:sz w:val="20"/>
                      <w:szCs w:val="20"/>
                    </w:rPr>
                    <w:t>市內網路業務</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57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申請人或經營者應依電信號碼管理辦法之有關規定使用電信號碼。</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58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（刪除）</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58-1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（刪除）</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59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（刪除）</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60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（刪除）</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61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經營者應依平等接取服務管理辦法之有關規定提供平等接取服務。</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61-1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（刪除）</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62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經營者對其使用者應於開始營運時提供查號服務；對他經營者之使用者，</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其開始提供查號服務之時程，由電信總局公告之。前項查號服務之項目，</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至少應包括一○四、一○五及一○六之服務。</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C4FF3">
                    <w:rPr>
                      <w:rFonts w:ascii="細明體" w:eastAsia="細明體" w:hAnsi="細明體" w:cs="細明體"/>
                      <w:color w:val="363636"/>
                      <w:kern w:val="0"/>
                      <w:szCs w:val="24"/>
                    </w:rPr>
                    <w:t>經營者間應相互</w:t>
                  </w:r>
                  <w:proofErr w:type="gramEnd"/>
                  <w:r w:rsidRPr="00EC4FF3">
                    <w:rPr>
                      <w:rFonts w:ascii="細明體" w:eastAsia="細明體" w:hAnsi="細明體" w:cs="細明體"/>
                      <w:color w:val="363636"/>
                      <w:kern w:val="0"/>
                      <w:szCs w:val="24"/>
                    </w:rPr>
                    <w:t>提供查號服務所需之用戶資訊。但用戶要求保密之資訊，</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不在此限。</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前項用戶資訊之提供及查詢，應依互惠之原則辦理。</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提供查號服務之收費，不得超過查號服務之成本。</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63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經營者應免費提供使用者一一○及一一九緊急電話服務。</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經營者對於緊急電話通信，應優先處理之。</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64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經營者應提供使用者公用電話服務。</w:t>
                  </w:r>
                </w:p>
              </w:tc>
            </w:tr>
            <w:tr w:rsidR="00EC4FF3" w:rsidRPr="00EC4FF3">
              <w:trPr>
                <w:tblCellSpacing w:w="15" w:type="dxa"/>
                <w:jc w:val="center"/>
              </w:trPr>
              <w:tc>
                <w:tcPr>
                  <w:tcW w:w="0" w:type="auto"/>
                  <w:gridSpan w:val="2"/>
                  <w:vAlign w:val="center"/>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b/>
                      <w:bCs/>
                      <w:color w:val="363636"/>
                      <w:kern w:val="0"/>
                      <w:sz w:val="20"/>
                      <w:szCs w:val="20"/>
                    </w:rPr>
                    <w:t>      </w:t>
                  </w:r>
                  <w:r w:rsidRPr="00EC4FF3">
                    <w:rPr>
                      <w:rFonts w:ascii="Verdana" w:eastAsia="新細明體" w:hAnsi="Verdana" w:cs="新細明體"/>
                      <w:b/>
                      <w:bCs/>
                      <w:color w:val="363636"/>
                      <w:kern w:val="0"/>
                      <w:sz w:val="20"/>
                      <w:szCs w:val="20"/>
                    </w:rPr>
                    <w:t>第</w:t>
                  </w:r>
                  <w:r w:rsidRPr="00EC4FF3">
                    <w:rPr>
                      <w:rFonts w:ascii="Verdana" w:eastAsia="新細明體" w:hAnsi="Verdana" w:cs="新細明體"/>
                      <w:b/>
                      <w:bCs/>
                      <w:color w:val="363636"/>
                      <w:kern w:val="0"/>
                      <w:sz w:val="20"/>
                      <w:szCs w:val="20"/>
                    </w:rPr>
                    <w:t> </w:t>
                  </w:r>
                  <w:r w:rsidRPr="00EC4FF3">
                    <w:rPr>
                      <w:rFonts w:ascii="Verdana" w:eastAsia="新細明體" w:hAnsi="Verdana" w:cs="新細明體"/>
                      <w:b/>
                      <w:bCs/>
                      <w:color w:val="363636"/>
                      <w:kern w:val="0"/>
                      <w:sz w:val="20"/>
                      <w:szCs w:val="20"/>
                    </w:rPr>
                    <w:t>三</w:t>
                  </w:r>
                  <w:r w:rsidRPr="00EC4FF3">
                    <w:rPr>
                      <w:rFonts w:ascii="Verdana" w:eastAsia="新細明體" w:hAnsi="Verdana" w:cs="新細明體"/>
                      <w:b/>
                      <w:bCs/>
                      <w:color w:val="363636"/>
                      <w:kern w:val="0"/>
                      <w:sz w:val="20"/>
                      <w:szCs w:val="20"/>
                    </w:rPr>
                    <w:t> </w:t>
                  </w:r>
                  <w:r w:rsidRPr="00EC4FF3">
                    <w:rPr>
                      <w:rFonts w:ascii="Verdana" w:eastAsia="新細明體" w:hAnsi="Verdana" w:cs="新細明體"/>
                      <w:b/>
                      <w:bCs/>
                      <w:color w:val="363636"/>
                      <w:kern w:val="0"/>
                      <w:sz w:val="20"/>
                      <w:szCs w:val="20"/>
                    </w:rPr>
                    <w:t>節</w:t>
                  </w:r>
                  <w:r w:rsidRPr="00EC4FF3">
                    <w:rPr>
                      <w:rFonts w:ascii="Verdana" w:eastAsia="新細明體" w:hAnsi="Verdana" w:cs="新細明體"/>
                      <w:b/>
                      <w:bCs/>
                      <w:color w:val="363636"/>
                      <w:kern w:val="0"/>
                      <w:sz w:val="20"/>
                      <w:szCs w:val="20"/>
                    </w:rPr>
                    <w:t> </w:t>
                  </w:r>
                  <w:r w:rsidRPr="00EC4FF3">
                    <w:rPr>
                      <w:rFonts w:ascii="Verdana" w:eastAsia="新細明體" w:hAnsi="Verdana" w:cs="新細明體"/>
                      <w:b/>
                      <w:bCs/>
                      <w:color w:val="363636"/>
                      <w:kern w:val="0"/>
                      <w:sz w:val="20"/>
                      <w:szCs w:val="20"/>
                    </w:rPr>
                    <w:t>長途網路業務</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65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第五十七條之規定，於長途網路業務</w:t>
                  </w:r>
                  <w:proofErr w:type="gramStart"/>
                  <w:r w:rsidRPr="00EC4FF3">
                    <w:rPr>
                      <w:rFonts w:ascii="細明體" w:eastAsia="細明體" w:hAnsi="細明體" w:cs="細明體"/>
                      <w:color w:val="363636"/>
                      <w:kern w:val="0"/>
                      <w:szCs w:val="24"/>
                    </w:rPr>
                    <w:t>準</w:t>
                  </w:r>
                  <w:proofErr w:type="gramEnd"/>
                  <w:r w:rsidRPr="00EC4FF3">
                    <w:rPr>
                      <w:rFonts w:ascii="細明體" w:eastAsia="細明體" w:hAnsi="細明體" w:cs="細明體"/>
                      <w:color w:val="363636"/>
                      <w:kern w:val="0"/>
                      <w:szCs w:val="24"/>
                    </w:rPr>
                    <w:t>用之。</w:t>
                  </w:r>
                </w:p>
              </w:tc>
            </w:tr>
            <w:tr w:rsidR="00EC4FF3" w:rsidRPr="00EC4FF3">
              <w:trPr>
                <w:tblCellSpacing w:w="15" w:type="dxa"/>
                <w:jc w:val="center"/>
              </w:trPr>
              <w:tc>
                <w:tcPr>
                  <w:tcW w:w="0" w:type="auto"/>
                  <w:gridSpan w:val="2"/>
                  <w:vAlign w:val="center"/>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b/>
                      <w:bCs/>
                      <w:color w:val="363636"/>
                      <w:kern w:val="0"/>
                      <w:sz w:val="20"/>
                      <w:szCs w:val="20"/>
                    </w:rPr>
                    <w:t>      </w:t>
                  </w:r>
                  <w:r w:rsidRPr="00EC4FF3">
                    <w:rPr>
                      <w:rFonts w:ascii="Verdana" w:eastAsia="新細明體" w:hAnsi="Verdana" w:cs="新細明體"/>
                      <w:b/>
                      <w:bCs/>
                      <w:color w:val="363636"/>
                      <w:kern w:val="0"/>
                      <w:sz w:val="20"/>
                      <w:szCs w:val="20"/>
                    </w:rPr>
                    <w:t>第</w:t>
                  </w:r>
                  <w:r w:rsidRPr="00EC4FF3">
                    <w:rPr>
                      <w:rFonts w:ascii="Verdana" w:eastAsia="新細明體" w:hAnsi="Verdana" w:cs="新細明體"/>
                      <w:b/>
                      <w:bCs/>
                      <w:color w:val="363636"/>
                      <w:kern w:val="0"/>
                      <w:sz w:val="20"/>
                      <w:szCs w:val="20"/>
                    </w:rPr>
                    <w:t> </w:t>
                  </w:r>
                  <w:r w:rsidRPr="00EC4FF3">
                    <w:rPr>
                      <w:rFonts w:ascii="Verdana" w:eastAsia="新細明體" w:hAnsi="Verdana" w:cs="新細明體"/>
                      <w:b/>
                      <w:bCs/>
                      <w:color w:val="363636"/>
                      <w:kern w:val="0"/>
                      <w:sz w:val="20"/>
                      <w:szCs w:val="20"/>
                    </w:rPr>
                    <w:t>四</w:t>
                  </w:r>
                  <w:r w:rsidRPr="00EC4FF3">
                    <w:rPr>
                      <w:rFonts w:ascii="Verdana" w:eastAsia="新細明體" w:hAnsi="Verdana" w:cs="新細明體"/>
                      <w:b/>
                      <w:bCs/>
                      <w:color w:val="363636"/>
                      <w:kern w:val="0"/>
                      <w:sz w:val="20"/>
                      <w:szCs w:val="20"/>
                    </w:rPr>
                    <w:t> </w:t>
                  </w:r>
                  <w:r w:rsidRPr="00EC4FF3">
                    <w:rPr>
                      <w:rFonts w:ascii="Verdana" w:eastAsia="新細明體" w:hAnsi="Verdana" w:cs="新細明體"/>
                      <w:b/>
                      <w:bCs/>
                      <w:color w:val="363636"/>
                      <w:kern w:val="0"/>
                      <w:sz w:val="20"/>
                      <w:szCs w:val="20"/>
                    </w:rPr>
                    <w:t>節</w:t>
                  </w:r>
                  <w:r w:rsidRPr="00EC4FF3">
                    <w:rPr>
                      <w:rFonts w:ascii="Verdana" w:eastAsia="新細明體" w:hAnsi="Verdana" w:cs="新細明體"/>
                      <w:b/>
                      <w:bCs/>
                      <w:color w:val="363636"/>
                      <w:kern w:val="0"/>
                      <w:sz w:val="20"/>
                      <w:szCs w:val="20"/>
                    </w:rPr>
                    <w:t> </w:t>
                  </w:r>
                  <w:r w:rsidRPr="00EC4FF3">
                    <w:rPr>
                      <w:rFonts w:ascii="Verdana" w:eastAsia="新細明體" w:hAnsi="Verdana" w:cs="新細明體"/>
                      <w:b/>
                      <w:bCs/>
                      <w:color w:val="363636"/>
                      <w:kern w:val="0"/>
                      <w:sz w:val="20"/>
                      <w:szCs w:val="20"/>
                    </w:rPr>
                    <w:t>國際網路業務</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66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經營者應依其提供服務之方式建置或取得為完成國際通信之基礎設施，包</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C4FF3">
                    <w:rPr>
                      <w:rFonts w:ascii="細明體" w:eastAsia="細明體" w:hAnsi="細明體" w:cs="細明體"/>
                      <w:color w:val="363636"/>
                      <w:kern w:val="0"/>
                      <w:szCs w:val="24"/>
                    </w:rPr>
                    <w:t>括</w:t>
                  </w:r>
                  <w:proofErr w:type="gramEnd"/>
                  <w:r w:rsidRPr="00EC4FF3">
                    <w:rPr>
                      <w:rFonts w:ascii="細明體" w:eastAsia="細明體" w:hAnsi="細明體" w:cs="細明體"/>
                      <w:color w:val="363636"/>
                      <w:kern w:val="0"/>
                      <w:szCs w:val="24"/>
                    </w:rPr>
                    <w:t>國際海纜登陸站、</w:t>
                  </w:r>
                  <w:proofErr w:type="gramStart"/>
                  <w:r w:rsidRPr="00EC4FF3">
                    <w:rPr>
                      <w:rFonts w:ascii="細明體" w:eastAsia="細明體" w:hAnsi="細明體" w:cs="細明體"/>
                      <w:color w:val="363636"/>
                      <w:kern w:val="0"/>
                      <w:szCs w:val="24"/>
                    </w:rPr>
                    <w:t>內陸鏈</w:t>
                  </w:r>
                  <w:proofErr w:type="gramEnd"/>
                  <w:r w:rsidRPr="00EC4FF3">
                    <w:rPr>
                      <w:rFonts w:ascii="細明體" w:eastAsia="細明體" w:hAnsi="細明體" w:cs="細明體"/>
                      <w:color w:val="363636"/>
                      <w:kern w:val="0"/>
                      <w:szCs w:val="24"/>
                    </w:rPr>
                    <w:t>路設施、國際通信交換設施、衛星轉頻器、衛</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星地球電臺及轉接設備、其他附屬設施。</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67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經營者於營運初期有必要向他經營者租用國際通信所需之衛星或海纜設施</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者，他經營者無正當理由，不得拒絕。</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lastRenderedPageBreak/>
                    <w:t>前項租用國際通信所需設施之條件，由經營者</w:t>
                  </w:r>
                  <w:proofErr w:type="gramStart"/>
                  <w:r w:rsidRPr="00EC4FF3">
                    <w:rPr>
                      <w:rFonts w:ascii="細明體" w:eastAsia="細明體" w:hAnsi="細明體" w:cs="細明體"/>
                      <w:color w:val="363636"/>
                      <w:kern w:val="0"/>
                      <w:szCs w:val="24"/>
                    </w:rPr>
                    <w:t>相互間依公平</w:t>
                  </w:r>
                  <w:proofErr w:type="gramEnd"/>
                  <w:r w:rsidRPr="00EC4FF3">
                    <w:rPr>
                      <w:rFonts w:ascii="細明體" w:eastAsia="細明體" w:hAnsi="細明體" w:cs="細明體"/>
                      <w:color w:val="363636"/>
                      <w:kern w:val="0"/>
                      <w:szCs w:val="24"/>
                    </w:rPr>
                    <w:t>合理原則協議</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經營者如因技術限制請求租用國際海纜登陸站或</w:t>
                  </w:r>
                  <w:proofErr w:type="gramStart"/>
                  <w:r w:rsidRPr="00EC4FF3">
                    <w:rPr>
                      <w:rFonts w:ascii="細明體" w:eastAsia="細明體" w:hAnsi="細明體" w:cs="細明體"/>
                      <w:color w:val="363636"/>
                      <w:kern w:val="0"/>
                      <w:szCs w:val="24"/>
                    </w:rPr>
                    <w:t>內陸鏈</w:t>
                  </w:r>
                  <w:proofErr w:type="gramEnd"/>
                  <w:r w:rsidRPr="00EC4FF3">
                    <w:rPr>
                      <w:rFonts w:ascii="細明體" w:eastAsia="細明體" w:hAnsi="細明體" w:cs="細明體"/>
                      <w:color w:val="363636"/>
                      <w:kern w:val="0"/>
                      <w:szCs w:val="24"/>
                    </w:rPr>
                    <w:t>路設施者，其租金</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應依出租人之成本計算之。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第二項協議簽訂後，請求之一方應於一個月內檢具協議書報請電信總局備</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查。</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lastRenderedPageBreak/>
                    <w:t>第</w:t>
                  </w:r>
                  <w:r w:rsidRPr="00EC4FF3">
                    <w:rPr>
                      <w:rFonts w:ascii="Verdana" w:eastAsia="新細明體" w:hAnsi="Verdana" w:cs="新細明體"/>
                      <w:color w:val="363636"/>
                      <w:kern w:val="0"/>
                      <w:sz w:val="20"/>
                      <w:szCs w:val="20"/>
                    </w:rPr>
                    <w:t xml:space="preserve"> 68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經營者於營運初期得請求其他已取得國際海纜通信容量或長期使用權之經</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營者，居間協助與國際海纜管理者協議取得使用該國際海纜通信容量之長</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期使用權，或轉讓其長期使用權之一部。其使用權之權利金、轉讓價金或</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其他相關條件，由經營者相互協議之。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已取得國際海纜通信容量長期使用權之經營者，無正當理由不得拒絕前項</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請求。</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如經營者以國際出租電路經營國際網路業務者，電信總局得視實際需要，</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依職權或申請命該經營者與國際海纜管理者協議變更其出租電路為國際海</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C4FF3">
                    <w:rPr>
                      <w:rFonts w:ascii="細明體" w:eastAsia="細明體" w:hAnsi="細明體" w:cs="細明體"/>
                      <w:color w:val="363636"/>
                      <w:kern w:val="0"/>
                      <w:szCs w:val="24"/>
                    </w:rPr>
                    <w:t>纜</w:t>
                  </w:r>
                  <w:proofErr w:type="gramEnd"/>
                  <w:r w:rsidRPr="00EC4FF3">
                    <w:rPr>
                      <w:rFonts w:ascii="細明體" w:eastAsia="細明體" w:hAnsi="細明體" w:cs="細明體"/>
                      <w:color w:val="363636"/>
                      <w:kern w:val="0"/>
                      <w:szCs w:val="24"/>
                    </w:rPr>
                    <w:t>通信容量長期使用權，並依第一項規定提供其他經營者使用其一部。</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第一項協議簽訂後，請求之一方應於一個月內檢具協議書報請電信總局備</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查。</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第一項所稱國際海纜通信容量長期使用權，指經營者為國際海纜管理者之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成員，或依據其國際海纜管理契約，得長期使用該國際海纜通信容量約定</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比例之權利。</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69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經營者於營運初期得請求其他已取得國際衛星通信組織衛星電路權利之經</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營者，居間協助與國際衛星通信組織或經其授權之機構，依國際衛星通信</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lastRenderedPageBreak/>
                    <w:t>組織之規定，協議取得使用其衛星電路之權利，或轉讓他經營者使用權</w:t>
                  </w:r>
                  <w:proofErr w:type="gramStart"/>
                  <w:r w:rsidRPr="00EC4FF3">
                    <w:rPr>
                      <w:rFonts w:ascii="細明體" w:eastAsia="細明體" w:hAnsi="細明體" w:cs="細明體"/>
                      <w:color w:val="363636"/>
                      <w:kern w:val="0"/>
                      <w:szCs w:val="24"/>
                    </w:rPr>
                    <w:t>一</w:t>
                  </w:r>
                  <w:proofErr w:type="gramEnd"/>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部。其使用權之權利金、轉讓價金或其他相關條件，由經營者間，或與國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際衛星通信組織或經其授權之機構相互間協議之。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已取得國際衛星電路權利之經營者，無正當理由不得拒絕前項請求。</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第一項協議簽訂後，請求之一方應於一個月內檢具協議書報請電信總局備</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查。</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lastRenderedPageBreak/>
                    <w:t>第</w:t>
                  </w:r>
                  <w:r w:rsidRPr="00EC4FF3">
                    <w:rPr>
                      <w:rFonts w:ascii="Verdana" w:eastAsia="新細明體" w:hAnsi="Verdana" w:cs="新細明體"/>
                      <w:color w:val="363636"/>
                      <w:kern w:val="0"/>
                      <w:sz w:val="20"/>
                      <w:szCs w:val="20"/>
                    </w:rPr>
                    <w:t xml:space="preserve"> 70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經營者與他國電信業者間，就國際網路話</w:t>
                  </w:r>
                  <w:proofErr w:type="gramStart"/>
                  <w:r w:rsidRPr="00EC4FF3">
                    <w:rPr>
                      <w:rFonts w:ascii="細明體" w:eastAsia="細明體" w:hAnsi="細明體" w:cs="細明體"/>
                      <w:color w:val="363636"/>
                      <w:kern w:val="0"/>
                      <w:szCs w:val="24"/>
                    </w:rPr>
                    <w:t>務</w:t>
                  </w:r>
                  <w:proofErr w:type="gramEnd"/>
                  <w:r w:rsidRPr="00EC4FF3">
                    <w:rPr>
                      <w:rFonts w:ascii="細明體" w:eastAsia="細明體" w:hAnsi="細明體" w:cs="細明體"/>
                      <w:color w:val="363636"/>
                      <w:kern w:val="0"/>
                      <w:szCs w:val="24"/>
                    </w:rPr>
                    <w:t>處理及國際通信費用攤分之協</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議，如他國非屬世界貿易組織成員或僅有一家國際電信業者時，應符合回</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C4FF3">
                    <w:rPr>
                      <w:rFonts w:ascii="細明體" w:eastAsia="細明體" w:hAnsi="細明體" w:cs="細明體"/>
                      <w:color w:val="363636"/>
                      <w:kern w:val="0"/>
                      <w:szCs w:val="24"/>
                    </w:rPr>
                    <w:t>饋</w:t>
                  </w:r>
                  <w:proofErr w:type="gramEnd"/>
                  <w:r w:rsidRPr="00EC4FF3">
                    <w:rPr>
                      <w:rFonts w:ascii="細明體" w:eastAsia="細明體" w:hAnsi="細明體" w:cs="細明體"/>
                      <w:color w:val="363636"/>
                      <w:kern w:val="0"/>
                      <w:szCs w:val="24"/>
                    </w:rPr>
                    <w:t>話</w:t>
                  </w:r>
                  <w:proofErr w:type="gramStart"/>
                  <w:r w:rsidRPr="00EC4FF3">
                    <w:rPr>
                      <w:rFonts w:ascii="細明體" w:eastAsia="細明體" w:hAnsi="細明體" w:cs="細明體"/>
                      <w:color w:val="363636"/>
                      <w:kern w:val="0"/>
                      <w:szCs w:val="24"/>
                    </w:rPr>
                    <w:t>務</w:t>
                  </w:r>
                  <w:proofErr w:type="gramEnd"/>
                  <w:r w:rsidRPr="00EC4FF3">
                    <w:rPr>
                      <w:rFonts w:ascii="細明體" w:eastAsia="細明體" w:hAnsi="細明體" w:cs="細明體"/>
                      <w:color w:val="363636"/>
                      <w:kern w:val="0"/>
                      <w:szCs w:val="24"/>
                    </w:rPr>
                    <w:t>比例及平行攤分費率原則。</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前項所稱回饋話</w:t>
                  </w:r>
                  <w:proofErr w:type="gramStart"/>
                  <w:r w:rsidRPr="00EC4FF3">
                    <w:rPr>
                      <w:rFonts w:ascii="細明體" w:eastAsia="細明體" w:hAnsi="細明體" w:cs="細明體"/>
                      <w:color w:val="363636"/>
                      <w:kern w:val="0"/>
                      <w:szCs w:val="24"/>
                    </w:rPr>
                    <w:t>務</w:t>
                  </w:r>
                  <w:proofErr w:type="gramEnd"/>
                  <w:r w:rsidRPr="00EC4FF3">
                    <w:rPr>
                      <w:rFonts w:ascii="細明體" w:eastAsia="細明體" w:hAnsi="細明體" w:cs="細明體"/>
                      <w:color w:val="363636"/>
                      <w:kern w:val="0"/>
                      <w:szCs w:val="24"/>
                    </w:rPr>
                    <w:t>比例，指經營者應於協議中要求他國特定電信業者處理</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以其所屬網路為發信端至我國不同電信事業網路之國際通信話</w:t>
                  </w:r>
                  <w:proofErr w:type="gramStart"/>
                  <w:r w:rsidRPr="00EC4FF3">
                    <w:rPr>
                      <w:rFonts w:ascii="細明體" w:eastAsia="細明體" w:hAnsi="細明體" w:cs="細明體"/>
                      <w:color w:val="363636"/>
                      <w:kern w:val="0"/>
                      <w:szCs w:val="24"/>
                    </w:rPr>
                    <w:t>務</w:t>
                  </w:r>
                  <w:proofErr w:type="gramEnd"/>
                  <w:r w:rsidRPr="00EC4FF3">
                    <w:rPr>
                      <w:rFonts w:ascii="細明體" w:eastAsia="細明體" w:hAnsi="細明體" w:cs="細明體"/>
                      <w:color w:val="363636"/>
                      <w:kern w:val="0"/>
                      <w:szCs w:val="24"/>
                    </w:rPr>
                    <w:t>量，應按</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我國不同電信事業網路發信至他國該特定電信業者所屬網路之國際通信話</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C4FF3">
                    <w:rPr>
                      <w:rFonts w:ascii="細明體" w:eastAsia="細明體" w:hAnsi="細明體" w:cs="細明體"/>
                      <w:color w:val="363636"/>
                      <w:kern w:val="0"/>
                      <w:szCs w:val="24"/>
                    </w:rPr>
                    <w:t>務量占以我國</w:t>
                  </w:r>
                  <w:proofErr w:type="gramEnd"/>
                  <w:r w:rsidRPr="00EC4FF3">
                    <w:rPr>
                      <w:rFonts w:ascii="細明體" w:eastAsia="細明體" w:hAnsi="細明體" w:cs="細明體"/>
                      <w:color w:val="363636"/>
                      <w:kern w:val="0"/>
                      <w:szCs w:val="24"/>
                    </w:rPr>
                    <w:t>為發信端至他國該特定電信業者所屬網路之全部國際通信話</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C4FF3">
                    <w:rPr>
                      <w:rFonts w:ascii="細明體" w:eastAsia="細明體" w:hAnsi="細明體" w:cs="細明體"/>
                      <w:color w:val="363636"/>
                      <w:kern w:val="0"/>
                      <w:szCs w:val="24"/>
                    </w:rPr>
                    <w:t>務</w:t>
                  </w:r>
                  <w:proofErr w:type="gramEnd"/>
                  <w:r w:rsidRPr="00EC4FF3">
                    <w:rPr>
                      <w:rFonts w:ascii="細明體" w:eastAsia="細明體" w:hAnsi="細明體" w:cs="細明體"/>
                      <w:color w:val="363636"/>
                      <w:kern w:val="0"/>
                      <w:szCs w:val="24"/>
                    </w:rPr>
                    <w:t>量之比例分配之。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第一項所稱平行攤分費率，指經營者與他國特定電信</w:t>
                  </w:r>
                  <w:proofErr w:type="gramStart"/>
                  <w:r w:rsidRPr="00EC4FF3">
                    <w:rPr>
                      <w:rFonts w:ascii="細明體" w:eastAsia="細明體" w:hAnsi="細明體" w:cs="細明體"/>
                      <w:color w:val="363636"/>
                      <w:kern w:val="0"/>
                      <w:szCs w:val="24"/>
                    </w:rPr>
                    <w:t>業者間所協議</w:t>
                  </w:r>
                  <w:proofErr w:type="gramEnd"/>
                  <w:r w:rsidRPr="00EC4FF3">
                    <w:rPr>
                      <w:rFonts w:ascii="細明體" w:eastAsia="細明體" w:hAnsi="細明體" w:cs="細明體"/>
                      <w:color w:val="363636"/>
                      <w:kern w:val="0"/>
                      <w:szCs w:val="24"/>
                    </w:rPr>
                    <w:t>之國際</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通信費用攤分費率，對國內其他經營者應一體適用，不得為差別待遇。對</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他國其他電信業者，亦同。</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第一項之協議應由經營者共同選派代表與他國電信業者協商之或依現行之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攤分費率辦理。</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依前項規定與他國電信業者協商前，經營者彼此間之權利義務，應事先協</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商定之，並報請電信總局核備；變更者，亦同。</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71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經營者與他國電信業者間，就國際網路話</w:t>
                  </w:r>
                  <w:proofErr w:type="gramStart"/>
                  <w:r w:rsidRPr="00EC4FF3">
                    <w:rPr>
                      <w:rFonts w:ascii="細明體" w:eastAsia="細明體" w:hAnsi="細明體" w:cs="細明體"/>
                      <w:color w:val="363636"/>
                      <w:kern w:val="0"/>
                      <w:szCs w:val="24"/>
                    </w:rPr>
                    <w:t>務</w:t>
                  </w:r>
                  <w:proofErr w:type="gramEnd"/>
                  <w:r w:rsidRPr="00EC4FF3">
                    <w:rPr>
                      <w:rFonts w:ascii="細明體" w:eastAsia="細明體" w:hAnsi="細明體" w:cs="細明體"/>
                      <w:color w:val="363636"/>
                      <w:kern w:val="0"/>
                      <w:szCs w:val="24"/>
                    </w:rPr>
                    <w:t>處理及國際通信費用攤分之協</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lastRenderedPageBreak/>
                    <w:t>議，如他國屬世界貿易組織成員且有二家以上國際電信業者時，由經營者</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與他國電信業者協商之。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前項之協議，不得妨礙其他經營者與他國電信業者間之協議，或使他國電</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信業者斷絕對其他經營者提供國際電信服務或為其他有礙公平競爭之行為</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lastRenderedPageBreak/>
                    <w:t>第</w:t>
                  </w:r>
                  <w:r w:rsidRPr="00EC4FF3">
                    <w:rPr>
                      <w:rFonts w:ascii="Verdana" w:eastAsia="新細明體" w:hAnsi="Verdana" w:cs="新細明體"/>
                      <w:color w:val="363636"/>
                      <w:kern w:val="0"/>
                      <w:sz w:val="20"/>
                      <w:szCs w:val="20"/>
                    </w:rPr>
                    <w:t xml:space="preserve"> 72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經營者與他國電信業者間，就國際網路話</w:t>
                  </w:r>
                  <w:proofErr w:type="gramStart"/>
                  <w:r w:rsidRPr="00EC4FF3">
                    <w:rPr>
                      <w:rFonts w:ascii="細明體" w:eastAsia="細明體" w:hAnsi="細明體" w:cs="細明體"/>
                      <w:color w:val="363636"/>
                      <w:kern w:val="0"/>
                      <w:szCs w:val="24"/>
                    </w:rPr>
                    <w:t>務</w:t>
                  </w:r>
                  <w:proofErr w:type="gramEnd"/>
                  <w:r w:rsidRPr="00EC4FF3">
                    <w:rPr>
                      <w:rFonts w:ascii="細明體" w:eastAsia="細明體" w:hAnsi="細明體" w:cs="細明體"/>
                      <w:color w:val="363636"/>
                      <w:kern w:val="0"/>
                      <w:szCs w:val="24"/>
                    </w:rPr>
                    <w:t>處理及國際通信費用攤分之協</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議，應於完成協議後一個月內檢附協議書報請電信總局備查。</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國際通信費用攤分之國際慣例有重大變更，或他國電信市場競爭情況改變</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，或有其他重大事由者，電信總局得公告變更前二條規定之適用國家，經</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營者應按公告後內容調整其協議。</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73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第五十七條之規定，於國際網路業務</w:t>
                  </w:r>
                  <w:proofErr w:type="gramStart"/>
                  <w:r w:rsidRPr="00EC4FF3">
                    <w:rPr>
                      <w:rFonts w:ascii="細明體" w:eastAsia="細明體" w:hAnsi="細明體" w:cs="細明體"/>
                      <w:color w:val="363636"/>
                      <w:kern w:val="0"/>
                      <w:szCs w:val="24"/>
                    </w:rPr>
                    <w:t>準</w:t>
                  </w:r>
                  <w:proofErr w:type="gramEnd"/>
                  <w:r w:rsidRPr="00EC4FF3">
                    <w:rPr>
                      <w:rFonts w:ascii="細明體" w:eastAsia="細明體" w:hAnsi="細明體" w:cs="細明體"/>
                      <w:color w:val="363636"/>
                      <w:kern w:val="0"/>
                      <w:szCs w:val="24"/>
                    </w:rPr>
                    <w:t>用之。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第六十七條至第七十二條規定，於申請人取得籌設同意書後，亦適用之。</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73-1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經營者之電信網路與大陸地區之電信網路，在未開放直接對大陸地區通信</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前，應經由第三地區或國際電信網路 (包括國際海纜、國際衛星、國際通</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信交換設施及轉接設備) 以電路轉接方式連接通信。</w:t>
                  </w:r>
                </w:p>
              </w:tc>
            </w:tr>
            <w:tr w:rsidR="00EC4FF3" w:rsidRPr="00EC4FF3">
              <w:trPr>
                <w:tblCellSpacing w:w="15" w:type="dxa"/>
                <w:jc w:val="center"/>
              </w:trPr>
              <w:tc>
                <w:tcPr>
                  <w:tcW w:w="0" w:type="auto"/>
                  <w:gridSpan w:val="2"/>
                  <w:vAlign w:val="center"/>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b/>
                      <w:bCs/>
                      <w:color w:val="363636"/>
                      <w:kern w:val="0"/>
                      <w:sz w:val="20"/>
                      <w:szCs w:val="20"/>
                    </w:rPr>
                    <w:t>      </w:t>
                  </w:r>
                  <w:r w:rsidRPr="00EC4FF3">
                    <w:rPr>
                      <w:rFonts w:ascii="Verdana" w:eastAsia="新細明體" w:hAnsi="Verdana" w:cs="新細明體"/>
                      <w:b/>
                      <w:bCs/>
                      <w:color w:val="363636"/>
                      <w:kern w:val="0"/>
                      <w:sz w:val="20"/>
                      <w:szCs w:val="20"/>
                    </w:rPr>
                    <w:t>第</w:t>
                  </w:r>
                  <w:r w:rsidRPr="00EC4FF3">
                    <w:rPr>
                      <w:rFonts w:ascii="Verdana" w:eastAsia="新細明體" w:hAnsi="Verdana" w:cs="新細明體"/>
                      <w:b/>
                      <w:bCs/>
                      <w:color w:val="363636"/>
                      <w:kern w:val="0"/>
                      <w:sz w:val="20"/>
                      <w:szCs w:val="20"/>
                    </w:rPr>
                    <w:t> </w:t>
                  </w:r>
                  <w:r w:rsidRPr="00EC4FF3">
                    <w:rPr>
                      <w:rFonts w:ascii="Verdana" w:eastAsia="新細明體" w:hAnsi="Verdana" w:cs="新細明體"/>
                      <w:b/>
                      <w:bCs/>
                      <w:color w:val="363636"/>
                      <w:kern w:val="0"/>
                      <w:sz w:val="20"/>
                      <w:szCs w:val="20"/>
                    </w:rPr>
                    <w:t>五</w:t>
                  </w:r>
                  <w:r w:rsidRPr="00EC4FF3">
                    <w:rPr>
                      <w:rFonts w:ascii="Verdana" w:eastAsia="新細明體" w:hAnsi="Verdana" w:cs="新細明體"/>
                      <w:b/>
                      <w:bCs/>
                      <w:color w:val="363636"/>
                      <w:kern w:val="0"/>
                      <w:sz w:val="20"/>
                      <w:szCs w:val="20"/>
                    </w:rPr>
                    <w:t> </w:t>
                  </w:r>
                  <w:r w:rsidRPr="00EC4FF3">
                    <w:rPr>
                      <w:rFonts w:ascii="Verdana" w:eastAsia="新細明體" w:hAnsi="Verdana" w:cs="新細明體"/>
                      <w:b/>
                      <w:bCs/>
                      <w:color w:val="363636"/>
                      <w:kern w:val="0"/>
                      <w:sz w:val="20"/>
                      <w:szCs w:val="20"/>
                    </w:rPr>
                    <w:t>節</w:t>
                  </w:r>
                  <w:r w:rsidRPr="00EC4FF3">
                    <w:rPr>
                      <w:rFonts w:ascii="Verdana" w:eastAsia="新細明體" w:hAnsi="Verdana" w:cs="新細明體"/>
                      <w:b/>
                      <w:bCs/>
                      <w:color w:val="363636"/>
                      <w:kern w:val="0"/>
                      <w:sz w:val="20"/>
                      <w:szCs w:val="20"/>
                    </w:rPr>
                    <w:t> </w:t>
                  </w:r>
                  <w:r w:rsidRPr="00EC4FF3">
                    <w:rPr>
                      <w:rFonts w:ascii="Verdana" w:eastAsia="新細明體" w:hAnsi="Verdana" w:cs="新細明體"/>
                      <w:b/>
                      <w:bCs/>
                      <w:color w:val="363636"/>
                      <w:kern w:val="0"/>
                      <w:sz w:val="20"/>
                      <w:szCs w:val="20"/>
                    </w:rPr>
                    <w:t>電路出租業務</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74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固定通信業務市場主導者對於他人承租電路之申請，無正當理由，不得拒</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絕。</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電信總局得指定固定通信業務市場主導者提供一定規格及數量之出租電路</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，其規格及數量由電信總局公告之。</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75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經營者出租電路之品質及條件，不得低於其自用或供其關係企業使用電路</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之品質及條件。</w:t>
                  </w:r>
                </w:p>
              </w:tc>
            </w:tr>
            <w:tr w:rsidR="00EC4FF3" w:rsidRPr="00EC4FF3">
              <w:trPr>
                <w:tblCellSpacing w:w="15" w:type="dxa"/>
                <w:jc w:val="center"/>
              </w:trPr>
              <w:tc>
                <w:tcPr>
                  <w:tcW w:w="0" w:type="auto"/>
                  <w:gridSpan w:val="2"/>
                  <w:vAlign w:val="center"/>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b/>
                      <w:bCs/>
                      <w:color w:val="363636"/>
                      <w:kern w:val="0"/>
                      <w:sz w:val="20"/>
                      <w:szCs w:val="20"/>
                    </w:rPr>
                    <w:t>   </w:t>
                  </w:r>
                  <w:r w:rsidRPr="00EC4FF3">
                    <w:rPr>
                      <w:rFonts w:ascii="Verdana" w:eastAsia="新細明體" w:hAnsi="Verdana" w:cs="新細明體"/>
                      <w:b/>
                      <w:bCs/>
                      <w:color w:val="363636"/>
                      <w:kern w:val="0"/>
                      <w:sz w:val="20"/>
                      <w:szCs w:val="20"/>
                    </w:rPr>
                    <w:t>第</w:t>
                  </w:r>
                  <w:r w:rsidRPr="00EC4FF3">
                    <w:rPr>
                      <w:rFonts w:ascii="Verdana" w:eastAsia="新細明體" w:hAnsi="Verdana" w:cs="新細明體"/>
                      <w:b/>
                      <w:bCs/>
                      <w:color w:val="363636"/>
                      <w:kern w:val="0"/>
                      <w:sz w:val="20"/>
                      <w:szCs w:val="20"/>
                    </w:rPr>
                    <w:t> </w:t>
                  </w:r>
                  <w:r w:rsidRPr="00EC4FF3">
                    <w:rPr>
                      <w:rFonts w:ascii="Verdana" w:eastAsia="新細明體" w:hAnsi="Verdana" w:cs="新細明體"/>
                      <w:b/>
                      <w:bCs/>
                      <w:color w:val="363636"/>
                      <w:kern w:val="0"/>
                      <w:sz w:val="20"/>
                      <w:szCs w:val="20"/>
                    </w:rPr>
                    <w:t>四</w:t>
                  </w:r>
                  <w:r w:rsidRPr="00EC4FF3">
                    <w:rPr>
                      <w:rFonts w:ascii="Verdana" w:eastAsia="新細明體" w:hAnsi="Verdana" w:cs="新細明體"/>
                      <w:b/>
                      <w:bCs/>
                      <w:color w:val="363636"/>
                      <w:kern w:val="0"/>
                      <w:sz w:val="20"/>
                      <w:szCs w:val="20"/>
                    </w:rPr>
                    <w:t> </w:t>
                  </w:r>
                  <w:r w:rsidRPr="00EC4FF3">
                    <w:rPr>
                      <w:rFonts w:ascii="Verdana" w:eastAsia="新細明體" w:hAnsi="Verdana" w:cs="新細明體"/>
                      <w:b/>
                      <w:bCs/>
                      <w:color w:val="363636"/>
                      <w:kern w:val="0"/>
                      <w:sz w:val="20"/>
                      <w:szCs w:val="20"/>
                    </w:rPr>
                    <w:t>章</w:t>
                  </w:r>
                  <w:r w:rsidRPr="00EC4FF3">
                    <w:rPr>
                      <w:rFonts w:ascii="Verdana" w:eastAsia="新細明體" w:hAnsi="Verdana" w:cs="新細明體"/>
                      <w:b/>
                      <w:bCs/>
                      <w:color w:val="363636"/>
                      <w:kern w:val="0"/>
                      <w:sz w:val="20"/>
                      <w:szCs w:val="20"/>
                    </w:rPr>
                    <w:t> </w:t>
                  </w:r>
                  <w:r w:rsidRPr="00EC4FF3">
                    <w:rPr>
                      <w:rFonts w:ascii="Verdana" w:eastAsia="新細明體" w:hAnsi="Verdana" w:cs="新細明體"/>
                      <w:b/>
                      <w:bCs/>
                      <w:color w:val="363636"/>
                      <w:kern w:val="0"/>
                      <w:sz w:val="20"/>
                      <w:szCs w:val="20"/>
                    </w:rPr>
                    <w:t>爭議之調處</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lastRenderedPageBreak/>
                    <w:t>第</w:t>
                  </w:r>
                  <w:r w:rsidRPr="00EC4FF3">
                    <w:rPr>
                      <w:rFonts w:ascii="Verdana" w:eastAsia="新細明體" w:hAnsi="Verdana" w:cs="新細明體"/>
                      <w:color w:val="363636"/>
                      <w:kern w:val="0"/>
                      <w:sz w:val="20"/>
                      <w:szCs w:val="20"/>
                    </w:rPr>
                    <w:t xml:space="preserve"> 76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經營者應依號碼可攜服務管理辦法之有關規定提供號碼可攜服務。</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77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（刪除）</w:t>
                  </w:r>
                </w:p>
              </w:tc>
            </w:tr>
            <w:tr w:rsidR="00EC4FF3" w:rsidRPr="00EC4FF3">
              <w:trPr>
                <w:tblCellSpacing w:w="15" w:type="dxa"/>
                <w:jc w:val="center"/>
              </w:trPr>
              <w:tc>
                <w:tcPr>
                  <w:tcW w:w="0" w:type="auto"/>
                  <w:gridSpan w:val="2"/>
                  <w:vAlign w:val="center"/>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b/>
                      <w:bCs/>
                      <w:color w:val="363636"/>
                      <w:kern w:val="0"/>
                      <w:sz w:val="20"/>
                      <w:szCs w:val="20"/>
                    </w:rPr>
                    <w:t>   </w:t>
                  </w:r>
                  <w:r w:rsidRPr="00EC4FF3">
                    <w:rPr>
                      <w:rFonts w:ascii="Verdana" w:eastAsia="新細明體" w:hAnsi="Verdana" w:cs="新細明體"/>
                      <w:b/>
                      <w:bCs/>
                      <w:color w:val="363636"/>
                      <w:kern w:val="0"/>
                      <w:sz w:val="20"/>
                      <w:szCs w:val="20"/>
                    </w:rPr>
                    <w:t>第</w:t>
                  </w:r>
                  <w:r w:rsidRPr="00EC4FF3">
                    <w:rPr>
                      <w:rFonts w:ascii="Verdana" w:eastAsia="新細明體" w:hAnsi="Verdana" w:cs="新細明體"/>
                      <w:b/>
                      <w:bCs/>
                      <w:color w:val="363636"/>
                      <w:kern w:val="0"/>
                      <w:sz w:val="20"/>
                      <w:szCs w:val="20"/>
                    </w:rPr>
                    <w:t> </w:t>
                  </w:r>
                  <w:r w:rsidRPr="00EC4FF3">
                    <w:rPr>
                      <w:rFonts w:ascii="Verdana" w:eastAsia="新細明體" w:hAnsi="Verdana" w:cs="新細明體"/>
                      <w:b/>
                      <w:bCs/>
                      <w:color w:val="363636"/>
                      <w:kern w:val="0"/>
                      <w:sz w:val="20"/>
                      <w:szCs w:val="20"/>
                    </w:rPr>
                    <w:t>五</w:t>
                  </w:r>
                  <w:r w:rsidRPr="00EC4FF3">
                    <w:rPr>
                      <w:rFonts w:ascii="Verdana" w:eastAsia="新細明體" w:hAnsi="Verdana" w:cs="新細明體"/>
                      <w:b/>
                      <w:bCs/>
                      <w:color w:val="363636"/>
                      <w:kern w:val="0"/>
                      <w:sz w:val="20"/>
                      <w:szCs w:val="20"/>
                    </w:rPr>
                    <w:t> </w:t>
                  </w:r>
                  <w:r w:rsidRPr="00EC4FF3">
                    <w:rPr>
                      <w:rFonts w:ascii="Verdana" w:eastAsia="新細明體" w:hAnsi="Verdana" w:cs="新細明體"/>
                      <w:b/>
                      <w:bCs/>
                      <w:color w:val="363636"/>
                      <w:kern w:val="0"/>
                      <w:sz w:val="20"/>
                      <w:szCs w:val="20"/>
                    </w:rPr>
                    <w:t>章</w:t>
                  </w:r>
                  <w:r w:rsidRPr="00EC4FF3">
                    <w:rPr>
                      <w:rFonts w:ascii="Verdana" w:eastAsia="新細明體" w:hAnsi="Verdana" w:cs="新細明體"/>
                      <w:b/>
                      <w:bCs/>
                      <w:color w:val="363636"/>
                      <w:kern w:val="0"/>
                      <w:sz w:val="20"/>
                      <w:szCs w:val="20"/>
                    </w:rPr>
                    <w:t> </w:t>
                  </w:r>
                  <w:r w:rsidRPr="00EC4FF3">
                    <w:rPr>
                      <w:rFonts w:ascii="Verdana" w:eastAsia="新細明體" w:hAnsi="Verdana" w:cs="新細明體"/>
                      <w:b/>
                      <w:bCs/>
                      <w:color w:val="363636"/>
                      <w:kern w:val="0"/>
                      <w:sz w:val="20"/>
                      <w:szCs w:val="20"/>
                    </w:rPr>
                    <w:t>附則</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78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（刪除）</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79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（刪除）</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80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（刪除）</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81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（刪除）</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82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（刪除）</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83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（刪除）</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84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（刪除）</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85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（刪除）</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86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（刪除）</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87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（刪除）</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88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（刪除）</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89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（刪除）</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90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（刪除）</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91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（刪除）</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92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本節規定，於電路出租業務經營者不適用之。</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93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經營者間之管線基礎設施及相關電信設備共用或其他依本規則規定應由經</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營者間協商之事項，經營者應依誠實及信用方法與他經營者相互協商之。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如就同一事項有數經營者請求協商時，得同時為之。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前項所定協商，應於開始協商之日起三個月內達成協議，並於協議後一個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月內將協議書送請電信總局備查。如經營者於收受協商請求後一個月內不</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開始協商，或於三個月內不能達成協議者，任一方均得以書面請求電信總</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局調處之。</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本條規定對於依本規則規定取得籌設同意書者亦適用之。</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94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下列事項，經營者得依交通部電信總局電信評議委員會委員</w:t>
                  </w:r>
                  <w:proofErr w:type="gramStart"/>
                  <w:r w:rsidRPr="00EC4FF3">
                    <w:rPr>
                      <w:rFonts w:ascii="細明體" w:eastAsia="細明體" w:hAnsi="細明體" w:cs="細明體"/>
                      <w:color w:val="363636"/>
                      <w:kern w:val="0"/>
                      <w:szCs w:val="24"/>
                    </w:rPr>
                    <w:t>遴聘及</w:t>
                  </w:r>
                  <w:proofErr w:type="gramEnd"/>
                  <w:r w:rsidRPr="00EC4FF3">
                    <w:rPr>
                      <w:rFonts w:ascii="細明體" w:eastAsia="細明體" w:hAnsi="細明體" w:cs="細明體"/>
                      <w:color w:val="363636"/>
                      <w:kern w:val="0"/>
                      <w:szCs w:val="24"/>
                    </w:rPr>
                    <w:t>作業辦</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法之規定申請評議：</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C4FF3">
                    <w:rPr>
                      <w:rFonts w:ascii="細明體" w:eastAsia="細明體" w:hAnsi="細明體" w:cs="細明體"/>
                      <w:color w:val="363636"/>
                      <w:kern w:val="0"/>
                      <w:szCs w:val="24"/>
                    </w:rPr>
                    <w:lastRenderedPageBreak/>
                    <w:t>一</w:t>
                  </w:r>
                  <w:proofErr w:type="gramEnd"/>
                  <w:r w:rsidRPr="00EC4FF3">
                    <w:rPr>
                      <w:rFonts w:ascii="細明體" w:eastAsia="細明體" w:hAnsi="細明體" w:cs="細明體"/>
                      <w:color w:val="363636"/>
                      <w:kern w:val="0"/>
                      <w:szCs w:val="24"/>
                    </w:rPr>
                    <w:t xml:space="preserve">  經營者間權益之爭議。</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二  經營者與電信設備業者間權益之爭議。</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三  經營者與使用者間權益之爭議。</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四  無線電頻率分配及指配之爭議。</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五  經營者與大眾傳播業者間有關工程技術及監理之爭議。</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六  其他有關電信事業、電信監理之爭議。</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lastRenderedPageBreak/>
                    <w:t>第</w:t>
                  </w:r>
                  <w:r w:rsidRPr="00EC4FF3">
                    <w:rPr>
                      <w:rFonts w:ascii="Verdana" w:eastAsia="新細明體" w:hAnsi="Verdana" w:cs="新細明體"/>
                      <w:color w:val="363636"/>
                      <w:kern w:val="0"/>
                      <w:sz w:val="20"/>
                      <w:szCs w:val="20"/>
                    </w:rPr>
                    <w:t xml:space="preserve"> 95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本規則發布施行前已依法經營固定通信業務者，其特許執照之補發規定，</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由電信總局另定之。</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96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申請經營固定通信業務者，應按申請特許、審查、認證、</w:t>
                  </w:r>
                  <w:proofErr w:type="gramStart"/>
                  <w:r w:rsidRPr="00EC4FF3">
                    <w:rPr>
                      <w:rFonts w:ascii="細明體" w:eastAsia="細明體" w:hAnsi="細明體" w:cs="細明體"/>
                      <w:color w:val="363636"/>
                      <w:kern w:val="0"/>
                      <w:szCs w:val="24"/>
                    </w:rPr>
                    <w:t>審驗及</w:t>
                  </w:r>
                  <w:proofErr w:type="gramEnd"/>
                  <w:r w:rsidRPr="00EC4FF3">
                    <w:rPr>
                      <w:rFonts w:ascii="細明體" w:eastAsia="細明體" w:hAnsi="細明體" w:cs="細明體"/>
                      <w:color w:val="363636"/>
                      <w:kern w:val="0"/>
                      <w:szCs w:val="24"/>
                    </w:rPr>
                    <w:t>證照等作</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業，依交通部所定收費標準向電信總局繳交特許費、審查費、認證費、審</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驗費及證照費。</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經營者應按經營業務使用之頻率，依交通部所定收費標準向電信總局繳交</w:t>
                  </w:r>
                </w:p>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無線電頻率使用費。</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97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本規則自發布日施行。</w:t>
                  </w:r>
                </w:p>
              </w:tc>
            </w:tr>
            <w:tr w:rsidR="00EC4FF3" w:rsidRPr="00EC4FF3">
              <w:trPr>
                <w:tblCellSpacing w:w="15" w:type="dxa"/>
                <w:jc w:val="center"/>
              </w:trPr>
              <w:tc>
                <w:tcPr>
                  <w:tcW w:w="200" w:type="pct"/>
                  <w:noWrap/>
                  <w:hideMark/>
                </w:tcPr>
                <w:p w:rsidR="00EC4FF3" w:rsidRPr="00EC4FF3" w:rsidRDefault="00EC4FF3" w:rsidP="00EC4FF3">
                  <w:pPr>
                    <w:widowControl/>
                    <w:rPr>
                      <w:rFonts w:ascii="Verdana" w:eastAsia="新細明體" w:hAnsi="Verdana" w:cs="新細明體"/>
                      <w:color w:val="363636"/>
                      <w:kern w:val="0"/>
                      <w:szCs w:val="24"/>
                    </w:rPr>
                  </w:pPr>
                  <w:r w:rsidRPr="00EC4FF3">
                    <w:rPr>
                      <w:rFonts w:ascii="Verdana" w:eastAsia="新細明體" w:hAnsi="Verdana" w:cs="新細明體"/>
                      <w:color w:val="363636"/>
                      <w:kern w:val="0"/>
                      <w:sz w:val="20"/>
                      <w:szCs w:val="20"/>
                    </w:rPr>
                    <w:t>第</w:t>
                  </w:r>
                  <w:r w:rsidRPr="00EC4FF3">
                    <w:rPr>
                      <w:rFonts w:ascii="Verdana" w:eastAsia="新細明體" w:hAnsi="Verdana" w:cs="新細明體"/>
                      <w:color w:val="363636"/>
                      <w:kern w:val="0"/>
                      <w:sz w:val="20"/>
                      <w:szCs w:val="20"/>
                    </w:rPr>
                    <w:t xml:space="preserve"> 97-1 </w:t>
                  </w:r>
                  <w:r w:rsidRPr="00EC4FF3">
                    <w:rPr>
                      <w:rFonts w:ascii="Verdana" w:eastAsia="新細明體" w:hAnsi="Verdana" w:cs="新細明體"/>
                      <w:color w:val="363636"/>
                      <w:kern w:val="0"/>
                      <w:sz w:val="20"/>
                      <w:szCs w:val="20"/>
                    </w:rPr>
                    <w:t>條</w:t>
                  </w:r>
                </w:p>
              </w:tc>
              <w:tc>
                <w:tcPr>
                  <w:tcW w:w="4800" w:type="pct"/>
                  <w:vAlign w:val="center"/>
                  <w:hideMark/>
                </w:tcPr>
                <w:p w:rsidR="00EC4FF3" w:rsidRPr="00EC4FF3" w:rsidRDefault="00EC4FF3" w:rsidP="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C4FF3">
                    <w:rPr>
                      <w:rFonts w:ascii="細明體" w:eastAsia="細明體" w:hAnsi="細明體" w:cs="細明體"/>
                      <w:color w:val="363636"/>
                      <w:kern w:val="0"/>
                      <w:szCs w:val="24"/>
                    </w:rPr>
                    <w:t>違反本規則規定者，依電信法有關規定處罰。</w:t>
                  </w:r>
                </w:p>
              </w:tc>
            </w:tr>
          </w:tbl>
          <w:p w:rsidR="00EC4FF3" w:rsidRPr="00EC4FF3" w:rsidRDefault="00EC4FF3" w:rsidP="00EC4FF3">
            <w:pPr>
              <w:widowControl/>
              <w:rPr>
                <w:rFonts w:ascii="Verdana" w:eastAsia="新細明體" w:hAnsi="Verdana" w:cs="新細明體"/>
                <w:color w:val="363636"/>
                <w:kern w:val="0"/>
                <w:sz w:val="19"/>
                <w:szCs w:val="19"/>
              </w:rPr>
            </w:pPr>
          </w:p>
        </w:tc>
      </w:tr>
    </w:tbl>
    <w:p w:rsidR="000462F0" w:rsidRDefault="000462F0"/>
    <w:sectPr w:rsidR="000462F0"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68E" w:rsidRDefault="0063068E" w:rsidP="00EC4FF3">
      <w:r>
        <w:separator/>
      </w:r>
    </w:p>
  </w:endnote>
  <w:endnote w:type="continuationSeparator" w:id="0">
    <w:p w:rsidR="0063068E" w:rsidRDefault="0063068E" w:rsidP="00EC4F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68E" w:rsidRDefault="0063068E" w:rsidP="00EC4FF3">
      <w:r>
        <w:separator/>
      </w:r>
    </w:p>
  </w:footnote>
  <w:footnote w:type="continuationSeparator" w:id="0">
    <w:p w:rsidR="0063068E" w:rsidRDefault="0063068E" w:rsidP="00EC4F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4FF3"/>
    <w:rsid w:val="000462F0"/>
    <w:rsid w:val="0063068E"/>
    <w:rsid w:val="007F200A"/>
    <w:rsid w:val="00EC4FF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C4FF3"/>
    <w:pPr>
      <w:tabs>
        <w:tab w:val="center" w:pos="4153"/>
        <w:tab w:val="right" w:pos="8306"/>
      </w:tabs>
      <w:snapToGrid w:val="0"/>
    </w:pPr>
    <w:rPr>
      <w:sz w:val="20"/>
      <w:szCs w:val="20"/>
    </w:rPr>
  </w:style>
  <w:style w:type="character" w:customStyle="1" w:styleId="a4">
    <w:name w:val="頁首 字元"/>
    <w:basedOn w:val="a0"/>
    <w:link w:val="a3"/>
    <w:uiPriority w:val="99"/>
    <w:semiHidden/>
    <w:rsid w:val="00EC4FF3"/>
    <w:rPr>
      <w:sz w:val="20"/>
      <w:szCs w:val="20"/>
    </w:rPr>
  </w:style>
  <w:style w:type="paragraph" w:styleId="a5">
    <w:name w:val="footer"/>
    <w:basedOn w:val="a"/>
    <w:link w:val="a6"/>
    <w:uiPriority w:val="99"/>
    <w:semiHidden/>
    <w:unhideWhenUsed/>
    <w:rsid w:val="00EC4FF3"/>
    <w:pPr>
      <w:tabs>
        <w:tab w:val="center" w:pos="4153"/>
        <w:tab w:val="right" w:pos="8306"/>
      </w:tabs>
      <w:snapToGrid w:val="0"/>
    </w:pPr>
    <w:rPr>
      <w:sz w:val="20"/>
      <w:szCs w:val="20"/>
    </w:rPr>
  </w:style>
  <w:style w:type="character" w:customStyle="1" w:styleId="a6">
    <w:name w:val="頁尾 字元"/>
    <w:basedOn w:val="a0"/>
    <w:link w:val="a5"/>
    <w:uiPriority w:val="99"/>
    <w:semiHidden/>
    <w:rsid w:val="00EC4FF3"/>
    <w:rPr>
      <w:sz w:val="20"/>
      <w:szCs w:val="20"/>
    </w:rPr>
  </w:style>
  <w:style w:type="paragraph" w:styleId="Web">
    <w:name w:val="Normal (Web)"/>
    <w:basedOn w:val="a"/>
    <w:uiPriority w:val="99"/>
    <w:unhideWhenUsed/>
    <w:rsid w:val="00EC4FF3"/>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EC4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EC4FF3"/>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2711</Words>
  <Characters>15459</Characters>
  <Application>Microsoft Office Word</Application>
  <DocSecurity>0</DocSecurity>
  <Lines>128</Lines>
  <Paragraphs>36</Paragraphs>
  <ScaleCrop>false</ScaleCrop>
  <Company/>
  <LinksUpToDate>false</LinksUpToDate>
  <CharactersWithSpaces>18134</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2014-10-13T06:09:00Z</dcterms:created>
  <dc:creator>ncc</dc:creator>
  <lastModifiedBy>ncc</lastModifiedBy>
  <dcterms:modified xsi:type="dcterms:W3CDTF">2014-10-13T06:10:00Z</dcterms:modified>
  <revision>2</revision>
</coreProperties>
</file>