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0B" w:rsidRPr="0083660B" w:rsidRDefault="0083660B" w:rsidP="0083660B">
      <w:pPr>
        <w:pStyle w:val="s1"/>
        <w:jc w:val="center"/>
        <w:rPr>
          <w:color w:val="auto"/>
        </w:rPr>
      </w:pPr>
      <w:hyperlink r:id="rId6" w:history="1">
        <w:r w:rsidRPr="0083660B">
          <w:rPr>
            <w:rStyle w:val="a7"/>
            <w:color w:val="auto"/>
            <w:u w:val="none"/>
          </w:rPr>
          <w:t>第一類電信事業資費管理辦法</w:t>
        </w:r>
      </w:hyperlink>
      <w:r w:rsidRPr="0083660B">
        <w:rPr>
          <w:color w:val="auto"/>
        </w:rPr>
        <w:t>部分條文修正總說明</w:t>
      </w:r>
    </w:p>
    <w:p w:rsidR="0083660B" w:rsidRDefault="0083660B" w:rsidP="0083660B">
      <w:pPr>
        <w:pStyle w:val="s2"/>
      </w:pPr>
      <w:r>
        <w:t>中華民國九十二年十二月二十四日交通部交郵發字第０９２Ｂ０００１２２號修正發布第八條及第十七條條文</w:t>
      </w:r>
    </w:p>
    <w:p w:rsidR="0083660B" w:rsidRDefault="0083660B" w:rsidP="0083660B">
      <w:pPr>
        <w:pStyle w:val="s1"/>
      </w:pPr>
      <w:r>
        <w:t xml:space="preserve">　　現行「第一類電信事業網路互連管理辦法」業經本部電信總局於九十二年九月十七日發布修正為「電信事業網路互連管理辦法」並已施行，爰配合修正本辦法中第八條及第十七條之規定。 </w:t>
      </w:r>
      <w:r>
        <w:br/>
      </w:r>
      <w:r>
        <w:br/>
        <w:t>修正條文</w:t>
      </w:r>
      <w:r>
        <w:br/>
        <w:t>第八條</w:t>
      </w:r>
      <w:r>
        <w:br/>
        <w:t xml:space="preserve">　　第一類電信事業之資費訂定或調整涉及第一類電信事業之網路互連者，其接續費之協商及通信費之處理，應依電信事業網路互連管理辦法之規定辦理。</w:t>
      </w:r>
      <w:r>
        <w:br/>
        <w:t xml:space="preserve">　　第一類電信事業各項業務資費之訂定或調整，不得違反電信法或公平交易法等相關法令規定者。</w:t>
      </w:r>
      <w:r>
        <w:br/>
      </w:r>
      <w:r>
        <w:br/>
        <w:t>第十七條</w:t>
      </w:r>
      <w:r>
        <w:br/>
        <w:t xml:space="preserve">　　第一類電信事業陳報或實施之資費有下列情形之一者，應依電信總局之命令變更之：</w:t>
      </w:r>
      <w:r>
        <w:br/>
        <w:t>一、資費之訂定或調整違反第一類電信事業會計制度及會計處理準則與電信事業網路互連管理辦法等相關法令規定者。</w:t>
      </w:r>
      <w:r>
        <w:br/>
        <w:t>二、違反第二條規定之公式者。</w:t>
      </w:r>
      <w:r>
        <w:br/>
        <w:t>三、違反第九條第一項、第二項及第十二條之規定者。</w:t>
      </w:r>
      <w:r>
        <w:br/>
        <w:t>四、經依第十六條規定申訴並經確認者。</w:t>
      </w:r>
      <w:r>
        <w:br/>
        <w:t xml:space="preserve">　　第一類電信事業依前項規定變更資費費率者，如其變更前之費率高於變更後之費率時，應於三個月內將超收之金額退還用戶。 </w:t>
      </w:r>
    </w:p>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0A" w:rsidRDefault="007A170A" w:rsidP="0083660B">
      <w:r>
        <w:separator/>
      </w:r>
    </w:p>
  </w:endnote>
  <w:endnote w:type="continuationSeparator" w:id="0">
    <w:p w:rsidR="007A170A" w:rsidRDefault="007A170A" w:rsidP="008366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0A" w:rsidRDefault="007A170A" w:rsidP="0083660B">
      <w:r>
        <w:separator/>
      </w:r>
    </w:p>
  </w:footnote>
  <w:footnote w:type="continuationSeparator" w:id="0">
    <w:p w:rsidR="007A170A" w:rsidRDefault="007A170A" w:rsidP="00836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60B"/>
    <w:rsid w:val="000462F0"/>
    <w:rsid w:val="00067728"/>
    <w:rsid w:val="007A170A"/>
    <w:rsid w:val="008366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60B"/>
    <w:pPr>
      <w:tabs>
        <w:tab w:val="center" w:pos="4153"/>
        <w:tab w:val="right" w:pos="8306"/>
      </w:tabs>
      <w:snapToGrid w:val="0"/>
    </w:pPr>
    <w:rPr>
      <w:sz w:val="20"/>
      <w:szCs w:val="20"/>
    </w:rPr>
  </w:style>
  <w:style w:type="character" w:customStyle="1" w:styleId="a4">
    <w:name w:val="頁首 字元"/>
    <w:basedOn w:val="a0"/>
    <w:link w:val="a3"/>
    <w:uiPriority w:val="99"/>
    <w:semiHidden/>
    <w:rsid w:val="0083660B"/>
    <w:rPr>
      <w:sz w:val="20"/>
      <w:szCs w:val="20"/>
    </w:rPr>
  </w:style>
  <w:style w:type="paragraph" w:styleId="a5">
    <w:name w:val="footer"/>
    <w:basedOn w:val="a"/>
    <w:link w:val="a6"/>
    <w:uiPriority w:val="99"/>
    <w:semiHidden/>
    <w:unhideWhenUsed/>
    <w:rsid w:val="0083660B"/>
    <w:pPr>
      <w:tabs>
        <w:tab w:val="center" w:pos="4153"/>
        <w:tab w:val="right" w:pos="8306"/>
      </w:tabs>
      <w:snapToGrid w:val="0"/>
    </w:pPr>
    <w:rPr>
      <w:sz w:val="20"/>
      <w:szCs w:val="20"/>
    </w:rPr>
  </w:style>
  <w:style w:type="character" w:customStyle="1" w:styleId="a6">
    <w:name w:val="頁尾 字元"/>
    <w:basedOn w:val="a0"/>
    <w:link w:val="a5"/>
    <w:uiPriority w:val="99"/>
    <w:semiHidden/>
    <w:rsid w:val="0083660B"/>
    <w:rPr>
      <w:sz w:val="20"/>
      <w:szCs w:val="20"/>
    </w:rPr>
  </w:style>
  <w:style w:type="character" w:styleId="a7">
    <w:name w:val="Hyperlink"/>
    <w:basedOn w:val="a0"/>
    <w:uiPriority w:val="99"/>
    <w:semiHidden/>
    <w:unhideWhenUsed/>
    <w:rsid w:val="0083660B"/>
    <w:rPr>
      <w:color w:val="FF6600"/>
      <w:u w:val="single"/>
    </w:rPr>
  </w:style>
  <w:style w:type="paragraph" w:customStyle="1" w:styleId="s1">
    <w:name w:val="s1"/>
    <w:basedOn w:val="a"/>
    <w:rsid w:val="0083660B"/>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83660B"/>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dgt.gov.tw/chinese/Regulations/5.3/5.3.2/Type1-Tariff.s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2014-10-14T06:32:00Z</dcterms:created>
  <dc:creator>ncc</dc:creator>
  <lastModifiedBy>ncc</lastModifiedBy>
  <dcterms:modified xsi:type="dcterms:W3CDTF">2014-10-14T06:32:00Z</dcterms:modified>
  <revision>2</revision>
</coreProperties>
</file>