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"/>
        <w:gridCol w:w="170"/>
        <w:gridCol w:w="6080"/>
      </w:tblGrid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名 稱</w:t>
            </w: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300" w:type="pct"/>
            <w:hideMark/>
          </w:tcPr>
          <w:p w:rsidR="00A7278F" w:rsidRPr="00A7278F" w:rsidRDefault="00A7278F" w:rsidP="00A7278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電信事業處理有關機關查詢電信通信紀錄實施辦法(民國 91 年 12 月 26 日 )</w:t>
            </w: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</w:tbl>
    <w:p w:rsidR="00A7278F" w:rsidRPr="00A7278F" w:rsidRDefault="00A7278F" w:rsidP="00A7278F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244"/>
        <w:gridCol w:w="5872"/>
      </w:tblGrid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1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本辦法依電信法第七條第二項規定訂定之。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2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本辦法所稱通信紀錄，指電信使用人使用電信服務後，電信系統所產生之發信方、受信方之電信號碼、通信日期、通信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起迄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時間等紀錄，並以電信系統設備性能可予提供者為原則。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前項所稱電信號碼，係指電話號碼或用戶識別碼。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3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有關機關查詢通信紀錄應先考量其必要性、合理性及比例相當原則，並應符合相關法律程序後，再備正式公文或附上電信通信紀錄查詢單 (格式如附件) ，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載明需查詢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之電信號碼、通信紀錄種類、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起迄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時間、查詢依據或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案號、資料用途、連絡人、連絡電話或傳真機號碼、及指定之列帳相關資料等，送該電話用戶所屬電信事業指定之受理單位辦理。但案情特殊、情況緊急之查詢，得由法官、軍事審判官、檢察官、軍事檢察官、查詢機關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首長或其書面指定人先以電話或公文傳真，並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經回叫確認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為之，查詢後應於三個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工作日內補具正式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公文或加蓋印信之電信通信紀錄查詢單正本。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前項之查詢，經查詢機關與電信事業雙方認證同意，得以經加密之電子郵件為之，該電子郵件並視同正式公文或電信通信紀錄查詢單正本。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4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有關機關查詢之通信紀錄，於電信事業之保存期限以內者，始予受理；已逾電信事業資料保存期限，致無法提供者，電信事業應書面回覆說明之。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5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前條第一類電信事業通信紀錄之保存期限如下：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一、市內通信紀錄：最近三個月以內。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二、國際、國內長途通信紀錄，最近六個月以內。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三、行動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通信通信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紀錄：最近六個月以內。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前項期限，自受理查詢日回溯起算。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第二類電信事業通信紀錄之保存期限，依第二類電信事業管理規則之規定。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6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電信事業處理查詢通信紀錄，應以不影響其營運作業，並依受理查詢日期先後之順序為原則。但案情特殊、情況緊急之查詢，不在此限。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電信事業受理前項案情特殊、情況緊急之查詢時，應優先處理；其因優先處理所生公司營運作業及人員安全之</w:t>
            </w: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lastRenderedPageBreak/>
              <w:t>費用，由查詢機關負擔之。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第 7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查詢費用依下列方式計收：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一、單向發信通信紀錄：以每頁新臺幣十元計收。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二、雙向通信紀錄：以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每號每日新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臺幣一百二十元計收，查詢期間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不滿一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 xml:space="preserve">    日以一日計收。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前項查詢結果無資料者，仍需計費。</w:t>
            </w:r>
          </w:p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查詢費用，查詢機關應於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帳單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繳費期限內付清。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8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法官、軍事審判官、檢察官、軍事檢察官或監察院、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審計部及所屬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審計機關依法查詢電信通信紀錄者，查詢費用得予減收或免收。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9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有關機關申請查詢之公文，各電信事業受理單位應</w:t>
            </w:r>
            <w:proofErr w:type="gramStart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以專冊登記</w:t>
            </w:r>
            <w:proofErr w:type="gramEnd"/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列管，並保存二年，逾期予以銷毀。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10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經辦查詢作業之人員，對於查詢作業之過程及所查得資料之內容等，應予保密，不得外洩。</w:t>
            </w:r>
          </w:p>
        </w:tc>
      </w:tr>
      <w:tr w:rsidR="00A7278F" w:rsidRPr="00A7278F" w:rsidTr="00A7278F">
        <w:trPr>
          <w:tblCellSpacing w:w="15" w:type="dxa"/>
          <w:jc w:val="center"/>
        </w:trPr>
        <w:tc>
          <w:tcPr>
            <w:tcW w:w="600" w:type="pct"/>
            <w:noWrap/>
            <w:hideMark/>
          </w:tcPr>
          <w:p w:rsidR="00A7278F" w:rsidRPr="00A7278F" w:rsidRDefault="00A7278F" w:rsidP="00A7278F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第 11 條 </w:t>
            </w:r>
          </w:p>
        </w:tc>
        <w:tc>
          <w:tcPr>
            <w:tcW w:w="200" w:type="pct"/>
            <w:vAlign w:val="center"/>
            <w:hideMark/>
          </w:tcPr>
          <w:p w:rsidR="00A7278F" w:rsidRPr="00A7278F" w:rsidRDefault="00A7278F" w:rsidP="00A727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7278F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 </w:t>
            </w:r>
          </w:p>
        </w:tc>
        <w:tc>
          <w:tcPr>
            <w:tcW w:w="4200" w:type="pct"/>
            <w:vAlign w:val="center"/>
            <w:hideMark/>
          </w:tcPr>
          <w:p w:rsidR="00A7278F" w:rsidRPr="00A7278F" w:rsidRDefault="00A7278F" w:rsidP="00A727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A7278F">
              <w:rPr>
                <w:rFonts w:ascii="細明體" w:eastAsia="細明體" w:hAnsi="細明體" w:cs="細明體"/>
                <w:kern w:val="0"/>
                <w:szCs w:val="24"/>
              </w:rPr>
              <w:t>本辦法自發布日施行。</w:t>
            </w:r>
          </w:p>
        </w:tc>
      </w:tr>
    </w:tbl>
    <w:p w:rsidR="000462F0" w:rsidRPr="00A7278F" w:rsidRDefault="000462F0"/>
    <w:sectPr w:rsidR="000462F0" w:rsidRPr="00A7278F" w:rsidSect="000462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D1" w:rsidRDefault="00D21ED1" w:rsidP="00A7278F">
      <w:r>
        <w:separator/>
      </w:r>
    </w:p>
  </w:endnote>
  <w:endnote w:type="continuationSeparator" w:id="0">
    <w:p w:rsidR="00D21ED1" w:rsidRDefault="00D21ED1" w:rsidP="00A72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D1" w:rsidRDefault="00D21ED1" w:rsidP="00A7278F">
      <w:r>
        <w:separator/>
      </w:r>
    </w:p>
  </w:footnote>
  <w:footnote w:type="continuationSeparator" w:id="0">
    <w:p w:rsidR="00D21ED1" w:rsidRDefault="00D21ED1" w:rsidP="00A72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78F"/>
    <w:rsid w:val="000462F0"/>
    <w:rsid w:val="00950658"/>
    <w:rsid w:val="00A7278F"/>
    <w:rsid w:val="00D2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278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2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278F"/>
    <w:rPr>
      <w:sz w:val="20"/>
      <w:szCs w:val="20"/>
    </w:rPr>
  </w:style>
  <w:style w:type="character" w:styleId="a7">
    <w:name w:val="Strong"/>
    <w:basedOn w:val="a0"/>
    <w:uiPriority w:val="22"/>
    <w:qFormat/>
    <w:rsid w:val="00A7278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72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7278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2014-10-08T02:21:00Z</dcterms:created>
  <dc:creator>ncc</dc:creator>
  <lastModifiedBy>ncc</lastModifiedBy>
  <dcterms:modified xsi:type="dcterms:W3CDTF">2014-10-08T02:23:00Z</dcterms:modified>
  <revision>2</revision>
</coreProperties>
</file>