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F907DE" w:rsidRPr="00F907DE">
        <w:trPr>
          <w:trHeight w:val="336"/>
          <w:tblCellSpacing w:w="0" w:type="dxa"/>
          <w:jc w:val="center"/>
        </w:trPr>
        <w:tc>
          <w:tcPr>
            <w:tcW w:w="4800" w:type="pct"/>
            <w:tcMar>
              <w:top w:w="60" w:type="dxa"/>
              <w:left w:w="0" w:type="dxa"/>
              <w:bottom w:w="0" w:type="dxa"/>
              <w:right w:w="72" w:type="dxa"/>
            </w:tcMar>
            <w:vAlign w:val="center"/>
            <w:hideMark/>
          </w:tcPr>
          <w:p w:rsidR="00F907DE" w:rsidRPr="00F907DE" w:rsidRDefault="00F907DE" w:rsidP="00F907DE">
            <w:pPr>
              <w:widowControl/>
              <w:spacing w:line="360" w:lineRule="auto"/>
              <w:jc w:val="center"/>
              <w:rPr>
                <w:rFonts w:ascii="新細明體" w:eastAsia="新細明體" w:hAnsi="新細明體" w:cs="新細明體"/>
                <w:b/>
                <w:color w:val="000000"/>
                <w:kern w:val="0"/>
                <w:sz w:val="28"/>
                <w:szCs w:val="28"/>
              </w:rPr>
            </w:pPr>
            <w:r w:rsidRPr="00F907DE">
              <w:rPr>
                <w:rFonts w:ascii="新細明體" w:eastAsia="新細明體" w:hAnsi="新細明體" w:cs="新細明體" w:hint="eastAsia"/>
                <w:b/>
                <w:color w:val="000000"/>
                <w:kern w:val="0"/>
                <w:sz w:val="28"/>
                <w:szCs w:val="28"/>
              </w:rPr>
              <w:t>第一類電信事業特許費收費標準</w:t>
            </w:r>
          </w:p>
        </w:tc>
      </w:tr>
      <w:tr w:rsidR="00F907DE" w:rsidRPr="00F907DE">
        <w:trPr>
          <w:tblCellSpacing w:w="0" w:type="dxa"/>
          <w:jc w:val="center"/>
        </w:trPr>
        <w:tc>
          <w:tcPr>
            <w:tcW w:w="0" w:type="auto"/>
            <w:hideMark/>
          </w:tcPr>
          <w:p w:rsidR="00F907DE" w:rsidRPr="00F907DE" w:rsidRDefault="00F907DE" w:rsidP="00F907DE">
            <w:pPr>
              <w:widowControl/>
              <w:spacing w:before="96"/>
              <w:rPr>
                <w:rFonts w:ascii="Verdana" w:eastAsia="新細明體" w:hAnsi="Verdana" w:cs="新細明體"/>
                <w:color w:val="363636"/>
                <w:kern w:val="0"/>
                <w:szCs w:val="24"/>
              </w:rPr>
            </w:pPr>
          </w:p>
        </w:tc>
      </w:tr>
      <w:tr w:rsidR="00F907DE" w:rsidRPr="00F907DE">
        <w:trPr>
          <w:tblCellSpacing w:w="0" w:type="dxa"/>
          <w:jc w:val="center"/>
        </w:trPr>
        <w:tc>
          <w:tcPr>
            <w:tcW w:w="0" w:type="auto"/>
            <w:vAlign w:val="center"/>
            <w:hideMark/>
          </w:tcPr>
          <w:p w:rsidR="00F907DE" w:rsidRPr="00F907DE" w:rsidRDefault="00F907DE" w:rsidP="00F907DE">
            <w:pPr>
              <w:widowControl/>
              <w:spacing w:before="100" w:beforeAutospacing="1" w:after="100" w:afterAutospacing="1"/>
              <w:jc w:val="center"/>
              <w:rPr>
                <w:rFonts w:ascii="Verdana" w:eastAsia="新細明體" w:hAnsi="Verdana" w:cs="新細明體"/>
                <w:color w:val="363636"/>
                <w:kern w:val="0"/>
                <w:szCs w:val="24"/>
              </w:rPr>
            </w:pPr>
            <w:r w:rsidRPr="00F907DE">
              <w:rPr>
                <w:rFonts w:ascii="Verdana" w:eastAsia="新細明體" w:hAnsi="Verdana" w:cs="新細明體"/>
                <w:color w:val="363636"/>
                <w:kern w:val="0"/>
                <w:szCs w:val="24"/>
              </w:rPr>
              <w:t>中華民國九十九年一月六日</w:t>
            </w:r>
            <w:r w:rsidRPr="00F907DE">
              <w:rPr>
                <w:rFonts w:ascii="Verdana" w:eastAsia="新細明體" w:hAnsi="Verdana" w:cs="新細明體"/>
                <w:color w:val="363636"/>
                <w:kern w:val="0"/>
                <w:szCs w:val="24"/>
              </w:rPr>
              <w:t xml:space="preserve"> </w:t>
            </w:r>
          </w:p>
        </w:tc>
      </w:tr>
      <w:tr w:rsidR="00F907DE" w:rsidRPr="00F907DE">
        <w:trPr>
          <w:tblCellSpacing w:w="0" w:type="dxa"/>
          <w:jc w:val="center"/>
        </w:trPr>
        <w:tc>
          <w:tcPr>
            <w:tcW w:w="0" w:type="auto"/>
            <w:tcMar>
              <w:top w:w="60" w:type="dxa"/>
              <w:left w:w="108" w:type="dxa"/>
              <w:bottom w:w="60" w:type="dxa"/>
              <w:right w:w="84" w:type="dxa"/>
            </w:tcMar>
          </w:tcPr>
          <w:p w:rsidR="00F907DE" w:rsidRPr="00F907DE" w:rsidRDefault="00F907DE" w:rsidP="00F907DE">
            <w:pPr>
              <w:widowControl/>
              <w:rPr>
                <w:rFonts w:ascii="Verdana" w:eastAsia="新細明體" w:hAnsi="Verdana" w:cs="新細明體" w:hint="eastAsia"/>
                <w:color w:val="363636"/>
                <w:kern w:val="0"/>
                <w:sz w:val="19"/>
                <w:szCs w:val="19"/>
              </w:rPr>
            </w:pPr>
            <w:r w:rsidRPr="00F907DE">
              <w:rPr>
                <w:rFonts w:ascii="Verdana" w:eastAsia="新細明體" w:hAnsi="Verdana" w:cs="新細明體"/>
                <w:color w:val="BAA039"/>
                <w:kern w:val="0"/>
                <w:sz w:val="19"/>
                <w:szCs w:val="19"/>
              </w:rPr>
              <w:t>通傳營字第</w:t>
            </w:r>
            <w:r w:rsidRPr="00F907DE">
              <w:rPr>
                <w:rFonts w:ascii="Verdana" w:eastAsia="新細明體" w:hAnsi="Verdana" w:cs="新細明體"/>
                <w:color w:val="BAA039"/>
                <w:kern w:val="0"/>
                <w:sz w:val="19"/>
                <w:szCs w:val="19"/>
              </w:rPr>
              <w:t>09841087310</w:t>
            </w:r>
            <w:r w:rsidRPr="00F907DE">
              <w:rPr>
                <w:rFonts w:ascii="Verdana" w:eastAsia="新細明體" w:hAnsi="Verdana" w:cs="新細明體"/>
                <w:color w:val="BAA039"/>
                <w:kern w:val="0"/>
                <w:sz w:val="19"/>
                <w:szCs w:val="19"/>
              </w:rPr>
              <w:t>號令修正「第一類電信事業特許費收費標準」第六條之一</w:t>
            </w:r>
            <w:r w:rsidRPr="00F907DE">
              <w:rPr>
                <w:rFonts w:ascii="Verdana" w:eastAsia="新細明體" w:hAnsi="Verdana" w:cs="新細明體"/>
                <w:color w:val="363636"/>
                <w:kern w:val="0"/>
                <w:sz w:val="19"/>
                <w:szCs w:val="19"/>
              </w:rPr>
              <w:br/>
            </w:r>
          </w:p>
          <w:p w:rsidR="00F907DE" w:rsidRPr="00F907DE" w:rsidRDefault="00F907DE" w:rsidP="00F907DE">
            <w:pPr>
              <w:widowControl/>
              <w:spacing w:line="360" w:lineRule="auto"/>
              <w:jc w:val="both"/>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第 一 條      本標準依電信法(以下簡稱本法)第七十條規定訂定之。</w:t>
            </w: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第 二 條      第一類電信事業經營者（以下簡稱經營者）應自取得特許執照並開始營業之年度起，每年按各種電信業務之收費基準分別計算其應繳納之特許費數額，並依第四條及第六條之規定，繳納及申報特許費。</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各種電信業務之收費基準如下：</w:t>
            </w:r>
          </w:p>
          <w:p w:rsidR="00F907DE" w:rsidRPr="00F907DE" w:rsidRDefault="00F907DE" w:rsidP="00F907DE">
            <w:pPr>
              <w:widowControl/>
              <w:tabs>
                <w:tab w:val="left" w:pos="1800"/>
              </w:tabs>
              <w:spacing w:line="360" w:lineRule="auto"/>
              <w:ind w:left="1800" w:hanging="72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一、</w:t>
            </w:r>
            <w:r w:rsidRPr="00F907DE">
              <w:rPr>
                <w:rFonts w:ascii="Times New Roman" w:eastAsia="新細明體" w:hAnsi="Times New Roman" w:cs="Times New Roman"/>
                <w:color w:val="000000"/>
                <w:kern w:val="0"/>
                <w:szCs w:val="24"/>
              </w:rPr>
              <w:t xml:space="preserve">        </w:t>
            </w:r>
            <w:r w:rsidRPr="00F907DE">
              <w:rPr>
                <w:rFonts w:ascii="新細明體" w:eastAsia="新細明體" w:hAnsi="新細明體" w:cs="新細明體" w:hint="eastAsia"/>
                <w:color w:val="000000"/>
                <w:kern w:val="0"/>
                <w:szCs w:val="24"/>
              </w:rPr>
              <w:t>按當年度營業額百分之二計收：行動電話業務。</w:t>
            </w:r>
          </w:p>
          <w:p w:rsidR="00F907DE" w:rsidRPr="00F907DE" w:rsidRDefault="00F907DE" w:rsidP="00F907DE">
            <w:pPr>
              <w:widowControl/>
              <w:tabs>
                <w:tab w:val="left" w:pos="1800"/>
              </w:tabs>
              <w:spacing w:line="360" w:lineRule="auto"/>
              <w:ind w:left="1800" w:hanging="72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二、</w:t>
            </w:r>
            <w:r w:rsidRPr="00F907DE">
              <w:rPr>
                <w:rFonts w:ascii="Times New Roman" w:eastAsia="新細明體" w:hAnsi="Times New Roman" w:cs="Times New Roman"/>
                <w:color w:val="000000"/>
                <w:kern w:val="0"/>
                <w:szCs w:val="24"/>
              </w:rPr>
              <w:t xml:space="preserve">        </w:t>
            </w:r>
            <w:r w:rsidRPr="00F907DE">
              <w:rPr>
                <w:rFonts w:ascii="新細明體" w:eastAsia="新細明體" w:hAnsi="新細明體" w:cs="新細明體" w:hint="eastAsia"/>
                <w:color w:val="000000"/>
                <w:kern w:val="0"/>
                <w:szCs w:val="24"/>
              </w:rPr>
              <w:t>按當年度營業額百分之一計收：綜合網路業務、市內網路業務、長途網路業務、國際網路業務、市內國內長途陸纜電路出租業務及國際海纜電路出租業務。</w:t>
            </w:r>
          </w:p>
          <w:p w:rsidR="00F907DE" w:rsidRPr="00F907DE" w:rsidRDefault="00F907DE" w:rsidP="00F907DE">
            <w:pPr>
              <w:widowControl/>
              <w:tabs>
                <w:tab w:val="left" w:pos="1800"/>
              </w:tabs>
              <w:spacing w:line="360" w:lineRule="auto"/>
              <w:ind w:left="1800" w:hanging="72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三、</w:t>
            </w:r>
            <w:r w:rsidRPr="00F907DE">
              <w:rPr>
                <w:rFonts w:ascii="Times New Roman" w:eastAsia="新細明體" w:hAnsi="Times New Roman" w:cs="Times New Roman"/>
                <w:color w:val="000000"/>
                <w:kern w:val="0"/>
                <w:szCs w:val="24"/>
              </w:rPr>
              <w:t xml:space="preserve">        </w:t>
            </w:r>
            <w:r w:rsidRPr="00F907DE">
              <w:rPr>
                <w:rFonts w:ascii="新細明體" w:eastAsia="新細明體" w:hAnsi="新細明體" w:cs="新細明體" w:hint="eastAsia"/>
                <w:color w:val="000000"/>
                <w:kern w:val="0"/>
                <w:szCs w:val="24"/>
              </w:rPr>
              <w:t>按當年度營業額百分之零點五計收：無線電叫人業務、行動數據通信業務、中繼式無線電話業務、九○○兆赫</w:t>
            </w:r>
            <w:proofErr w:type="gramStart"/>
            <w:r w:rsidRPr="00F907DE">
              <w:rPr>
                <w:rFonts w:ascii="新細明體" w:eastAsia="新細明體" w:hAnsi="新細明體" w:cs="新細明體" w:hint="eastAsia"/>
                <w:color w:val="000000"/>
                <w:kern w:val="0"/>
                <w:szCs w:val="24"/>
              </w:rPr>
              <w:t>數位式低功率</w:t>
            </w:r>
            <w:proofErr w:type="gramEnd"/>
            <w:r w:rsidRPr="00F907DE">
              <w:rPr>
                <w:rFonts w:ascii="新細明體" w:eastAsia="新細明體" w:hAnsi="新細明體" w:cs="新細明體" w:hint="eastAsia"/>
                <w:color w:val="000000"/>
                <w:kern w:val="0"/>
                <w:szCs w:val="24"/>
              </w:rPr>
              <w:t>無線電話業務、衛星固定通信業務及衛星行動通信業務。</w:t>
            </w:r>
          </w:p>
          <w:p w:rsidR="00F907DE" w:rsidRPr="00F907DE" w:rsidRDefault="00F907DE" w:rsidP="00F907DE">
            <w:pPr>
              <w:widowControl/>
              <w:tabs>
                <w:tab w:val="left" w:pos="1800"/>
              </w:tabs>
              <w:spacing w:line="360" w:lineRule="auto"/>
              <w:ind w:left="1800" w:hanging="72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四、</w:t>
            </w:r>
            <w:r w:rsidRPr="00F907DE">
              <w:rPr>
                <w:rFonts w:ascii="Times New Roman" w:eastAsia="新細明體" w:hAnsi="Times New Roman" w:cs="Times New Roman"/>
                <w:color w:val="000000"/>
                <w:kern w:val="0"/>
                <w:szCs w:val="24"/>
              </w:rPr>
              <w:t xml:space="preserve">        </w:t>
            </w:r>
            <w:r w:rsidRPr="00F907DE">
              <w:rPr>
                <w:rFonts w:ascii="新細明體" w:eastAsia="新細明體" w:hAnsi="新細明體" w:cs="新細明體" w:hint="eastAsia"/>
                <w:color w:val="000000"/>
                <w:kern w:val="0"/>
                <w:szCs w:val="24"/>
              </w:rPr>
              <w:t>按當年度營業額乘報價數值或得標乘數比值計收。但低於該業務管理規則所定數額者，依該管理規則之規定：一九○○兆赫</w:t>
            </w:r>
            <w:proofErr w:type="gramStart"/>
            <w:r w:rsidRPr="00F907DE">
              <w:rPr>
                <w:rFonts w:ascii="新細明體" w:eastAsia="新細明體" w:hAnsi="新細明體" w:cs="新細明體" w:hint="eastAsia"/>
                <w:color w:val="000000"/>
                <w:kern w:val="0"/>
                <w:szCs w:val="24"/>
              </w:rPr>
              <w:t>數位式低功率</w:t>
            </w:r>
            <w:proofErr w:type="gramEnd"/>
            <w:r w:rsidRPr="00F907DE">
              <w:rPr>
                <w:rFonts w:ascii="新細明體" w:eastAsia="新細明體" w:hAnsi="新細明體" w:cs="新細明體" w:hint="eastAsia"/>
                <w:color w:val="000000"/>
                <w:kern w:val="0"/>
                <w:szCs w:val="24"/>
              </w:rPr>
              <w:t>無線電話業務、無線寬頻接取業務。</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前項所稱營業額，係指經營各種電信業務所得之營業收入總額扣除退回及折讓數額後之營業收入淨額。第一類電信事業經營者利用其設置之網路傳輸設備提供基本電信服務之轉售服務及電信加值服務，即第二類電信事業得經營之業務，屬原第一類電信事業</w:t>
            </w:r>
            <w:r w:rsidRPr="00F907DE">
              <w:rPr>
                <w:rFonts w:ascii="新細明體" w:eastAsia="新細明體" w:hAnsi="新細明體" w:cs="新細明體" w:hint="eastAsia"/>
                <w:color w:val="000000"/>
                <w:kern w:val="0"/>
                <w:szCs w:val="24"/>
              </w:rPr>
              <w:lastRenderedPageBreak/>
              <w:t>執照之營業範圍，應將其營業收入納入第一類電信業務營業額。</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前項所稱營業收入總額，應包括各種電信業務因內部交易所產生之收入，並應以第一類電信事業會計制度及會計處理準則規定會計分離後之業務別損益表中所載各種業務營業收入為</w:t>
            </w:r>
            <w:proofErr w:type="gramStart"/>
            <w:r w:rsidRPr="00F907DE">
              <w:rPr>
                <w:rFonts w:ascii="新細明體" w:eastAsia="新細明體" w:hAnsi="新細明體" w:cs="新細明體" w:hint="eastAsia"/>
                <w:color w:val="000000"/>
                <w:kern w:val="0"/>
                <w:szCs w:val="24"/>
              </w:rPr>
              <w:t>準</w:t>
            </w:r>
            <w:proofErr w:type="gramEnd"/>
            <w:r w:rsidRPr="00F907DE">
              <w:rPr>
                <w:rFonts w:ascii="新細明體" w:eastAsia="新細明體" w:hAnsi="新細明體" w:cs="新細明體" w:hint="eastAsia"/>
                <w:color w:val="000000"/>
                <w:kern w:val="0"/>
                <w:szCs w:val="24"/>
              </w:rPr>
              <w:t>。</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經營者依電信法第十四條第六項授權訂定第一類電信事業各項業務管理規則之規定，代理外國通信業者在國內經營第一類電信事業業務時，該外國通信業者應繳交之特許費，適用第二項所定國內同種類第一類電信事業業務收費基準規定，並由經營者負繳納及申報之義務。</w:t>
            </w:r>
          </w:p>
          <w:p w:rsidR="00F907DE" w:rsidRPr="00F907DE" w:rsidRDefault="00F907DE" w:rsidP="00F907DE">
            <w:pPr>
              <w:widowControl/>
              <w:spacing w:line="360" w:lineRule="auto"/>
              <w:ind w:left="680" w:hanging="680"/>
              <w:jc w:val="both"/>
              <w:rPr>
                <w:rFonts w:ascii="新細明體" w:eastAsia="新細明體" w:hAnsi="新細明體" w:cs="新細明體" w:hint="eastAsia"/>
                <w:color w:val="000000"/>
                <w:kern w:val="0"/>
                <w:szCs w:val="24"/>
              </w:rPr>
            </w:pPr>
          </w:p>
          <w:p w:rsidR="00F907DE" w:rsidRPr="00F907DE" w:rsidRDefault="00F907DE" w:rsidP="00F907DE">
            <w:pPr>
              <w:widowControl/>
              <w:spacing w:line="360" w:lineRule="auto"/>
              <w:ind w:left="680" w:hanging="680"/>
              <w:jc w:val="both"/>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第 三 條      特許費之計費期間</w:t>
            </w:r>
            <w:proofErr w:type="gramStart"/>
            <w:r w:rsidRPr="00F907DE">
              <w:rPr>
                <w:rFonts w:ascii="新細明體" w:eastAsia="新細明體" w:hAnsi="新細明體" w:cs="新細明體" w:hint="eastAsia"/>
                <w:color w:val="000000"/>
                <w:kern w:val="0"/>
                <w:szCs w:val="24"/>
              </w:rPr>
              <w:t>採曆</w:t>
            </w:r>
            <w:proofErr w:type="gramEnd"/>
            <w:r w:rsidRPr="00F907DE">
              <w:rPr>
                <w:rFonts w:ascii="新細明體" w:eastAsia="新細明體" w:hAnsi="新細明體" w:cs="新細明體" w:hint="eastAsia"/>
                <w:color w:val="000000"/>
                <w:kern w:val="0"/>
                <w:szCs w:val="24"/>
              </w:rPr>
              <w:t>年制。</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經營者之營業年度非</w:t>
            </w:r>
            <w:proofErr w:type="gramStart"/>
            <w:r w:rsidRPr="00F907DE">
              <w:rPr>
                <w:rFonts w:ascii="新細明體" w:eastAsia="新細明體" w:hAnsi="新細明體" w:cs="新細明體" w:hint="eastAsia"/>
                <w:color w:val="000000"/>
                <w:kern w:val="0"/>
                <w:szCs w:val="24"/>
              </w:rPr>
              <w:t>採曆</w:t>
            </w:r>
            <w:proofErr w:type="gramEnd"/>
            <w:r w:rsidRPr="00F907DE">
              <w:rPr>
                <w:rFonts w:ascii="新細明體" w:eastAsia="新細明體" w:hAnsi="新細明體" w:cs="新細明體" w:hint="eastAsia"/>
                <w:color w:val="000000"/>
                <w:kern w:val="0"/>
                <w:szCs w:val="24"/>
              </w:rPr>
              <w:t>年制者，應於取得該管</w:t>
            </w:r>
            <w:proofErr w:type="gramStart"/>
            <w:r w:rsidRPr="00F907DE">
              <w:rPr>
                <w:rFonts w:ascii="新細明體" w:eastAsia="新細明體" w:hAnsi="新細明體" w:cs="新細明體" w:hint="eastAsia"/>
                <w:color w:val="000000"/>
                <w:kern w:val="0"/>
                <w:szCs w:val="24"/>
              </w:rPr>
              <w:t>稽</w:t>
            </w:r>
            <w:proofErr w:type="gramEnd"/>
            <w:r w:rsidRPr="00F907DE">
              <w:rPr>
                <w:rFonts w:ascii="新細明體" w:eastAsia="新細明體" w:hAnsi="新細明體" w:cs="新細明體" w:hint="eastAsia"/>
                <w:color w:val="000000"/>
                <w:kern w:val="0"/>
                <w:szCs w:val="24"/>
              </w:rPr>
              <w:t>徵機關之核准，並檢附該核准文件之影本報請國家通訊傳播委員會（以下簡稱本會）備查後，依其採用之營業年度期間辦理。</w:t>
            </w: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第 四 條      經營者應於每年五月一日起至同年五月三十一日前，以現金、以銀行為發票人之支票、國庫支票或匯票至本會或各地金融機構以電匯方式繳納繳費年度前一營業年度之特許費。</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經營者終止或暫停營業時，其特許費之繳費期限由本會依實際情形另行書面通知。</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經營者未依前二項規定繳納特許費時，依本法第六十一條第二項、第四項及規費法第二十條第二項之規定辦理。</w:t>
            </w: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第 五 條      經營者有溢繳、</w:t>
            </w:r>
            <w:proofErr w:type="gramStart"/>
            <w:r w:rsidRPr="00F907DE">
              <w:rPr>
                <w:rFonts w:ascii="新細明體" w:eastAsia="新細明體" w:hAnsi="新細明體" w:cs="新細明體" w:hint="eastAsia"/>
                <w:color w:val="000000"/>
                <w:kern w:val="0"/>
                <w:szCs w:val="24"/>
              </w:rPr>
              <w:t>誤繳或</w:t>
            </w:r>
            <w:proofErr w:type="gramEnd"/>
            <w:r w:rsidRPr="00F907DE">
              <w:rPr>
                <w:rFonts w:ascii="新細明體" w:eastAsia="新細明體" w:hAnsi="新細明體" w:cs="新細明體" w:hint="eastAsia"/>
                <w:color w:val="000000"/>
                <w:kern w:val="0"/>
                <w:szCs w:val="24"/>
              </w:rPr>
              <w:t>短繳特許費之情形者，得於繳費之日起五年內，由經營者提出具體證明，向本會申請退還，或由</w:t>
            </w:r>
            <w:proofErr w:type="gramStart"/>
            <w:r w:rsidRPr="00F907DE">
              <w:rPr>
                <w:rFonts w:ascii="新細明體" w:eastAsia="新細明體" w:hAnsi="新細明體" w:cs="新細明體" w:hint="eastAsia"/>
                <w:color w:val="000000"/>
                <w:kern w:val="0"/>
                <w:szCs w:val="24"/>
              </w:rPr>
              <w:t>本會命</w:t>
            </w:r>
            <w:r w:rsidRPr="00F907DE">
              <w:rPr>
                <w:rFonts w:ascii="新細明體" w:eastAsia="新細明體" w:hAnsi="新細明體" w:cs="新細明體" w:hint="eastAsia"/>
                <w:color w:val="000000"/>
                <w:kern w:val="0"/>
                <w:szCs w:val="24"/>
              </w:rPr>
              <w:lastRenderedPageBreak/>
              <w:t>其</w:t>
            </w:r>
            <w:proofErr w:type="gramEnd"/>
            <w:r w:rsidRPr="00F907DE">
              <w:rPr>
                <w:rFonts w:ascii="新細明體" w:eastAsia="新細明體" w:hAnsi="新細明體" w:cs="新細明體" w:hint="eastAsia"/>
                <w:color w:val="000000"/>
                <w:kern w:val="0"/>
                <w:szCs w:val="24"/>
              </w:rPr>
              <w:t>補繳。</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前項退費或補繳，應自經營者繳納之日起，至本會核准退費或命其補繳之日止，按退費額或</w:t>
            </w:r>
            <w:proofErr w:type="gramStart"/>
            <w:r w:rsidRPr="00F907DE">
              <w:rPr>
                <w:rFonts w:ascii="新細明體" w:eastAsia="新細明體" w:hAnsi="新細明體" w:cs="新細明體" w:hint="eastAsia"/>
                <w:color w:val="000000"/>
                <w:kern w:val="0"/>
                <w:szCs w:val="24"/>
              </w:rPr>
              <w:t>補繳額</w:t>
            </w:r>
            <w:proofErr w:type="gramEnd"/>
            <w:r w:rsidRPr="00F907DE">
              <w:rPr>
                <w:rFonts w:ascii="新細明體" w:eastAsia="新細明體" w:hAnsi="新細明體" w:cs="新細明體" w:hint="eastAsia"/>
                <w:color w:val="000000"/>
                <w:kern w:val="0"/>
                <w:szCs w:val="24"/>
              </w:rPr>
              <w:t>，依繳費之日中華郵政股份有限公司之一年期定期存款利率，按日加計利息，一併退費或補繳。</w:t>
            </w: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p>
          <w:p w:rsidR="00F907DE" w:rsidRPr="00F907DE" w:rsidRDefault="00F907DE" w:rsidP="00F907DE">
            <w:pPr>
              <w:widowControl/>
              <w:spacing w:line="360" w:lineRule="auto"/>
              <w:ind w:left="1080" w:hanging="108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第 六 條      經營者應於每年六月三十日前，依第一類電信事業會計制度及會計處理準則相關規定，檢送經會計師查核簽證之一般財務報告、電信分離會計財務報表，向本會申報各種電信業務營業額及應繳特許費之數額。</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經營者終止或暫停營業時，其申報期限由本會依實際情形另行書面通知。</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經營者未依前二項規定檢送相關財務報表時，依本法第六十七條第一項第六款及第五項之規定辦理。</w:t>
            </w:r>
          </w:p>
          <w:p w:rsidR="00F907DE" w:rsidRPr="00F907DE" w:rsidRDefault="00F907DE" w:rsidP="00F907DE">
            <w:pPr>
              <w:widowControl/>
              <w:spacing w:line="360" w:lineRule="auto"/>
              <w:ind w:left="1080" w:firstLine="600"/>
              <w:rPr>
                <w:rFonts w:ascii="新細明體" w:eastAsia="新細明體" w:hAnsi="新細明體" w:cs="新細明體" w:hint="eastAsia"/>
                <w:color w:val="000000"/>
                <w:kern w:val="0"/>
                <w:szCs w:val="24"/>
              </w:rPr>
            </w:pPr>
            <w:r w:rsidRPr="00F907DE">
              <w:rPr>
                <w:rFonts w:ascii="新細明體" w:eastAsia="新細明體" w:hAnsi="新細明體" w:cs="新細明體" w:hint="eastAsia"/>
                <w:color w:val="000000"/>
                <w:kern w:val="0"/>
                <w:szCs w:val="24"/>
              </w:rPr>
              <w:t> </w:t>
            </w:r>
          </w:p>
          <w:p w:rsidR="00F907DE" w:rsidRPr="00F907DE" w:rsidRDefault="00F907DE" w:rsidP="00F907DE">
            <w:pPr>
              <w:widowControl/>
              <w:spacing w:line="360" w:lineRule="auto"/>
              <w:ind w:left="1200" w:hangingChars="500" w:hanging="120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t>第六條之</w:t>
            </w:r>
            <w:proofErr w:type="gramStart"/>
            <w:r w:rsidRPr="00F907DE">
              <w:rPr>
                <w:rFonts w:ascii="新細明體" w:eastAsia="新細明體" w:hAnsi="新細明體" w:cs="Arial" w:hint="eastAsia"/>
                <w:color w:val="000000"/>
                <w:kern w:val="0"/>
                <w:szCs w:val="24"/>
              </w:rPr>
              <w:t>一</w:t>
            </w:r>
            <w:proofErr w:type="gramEnd"/>
            <w:r w:rsidRPr="00F907DE">
              <w:rPr>
                <w:rFonts w:ascii="新細明體" w:eastAsia="新細明體" w:hAnsi="新細明體" w:cs="Arial" w:hint="eastAsia"/>
                <w:color w:val="000000"/>
                <w:kern w:val="0"/>
                <w:szCs w:val="24"/>
              </w:rPr>
              <w:t xml:space="preserve">　  應繳納特許費金額在一定數額（含）以上者，繳納義務人有不能於規定期限內繳納之事由者，除其他法律另有規定者外，得於繳納期限屆滿前，附具不能於規定期限內繳納之理由及相關證明文件，依規費法第十六條規定向本會申請分期繳納。</w:t>
            </w:r>
          </w:p>
          <w:p w:rsidR="00F907DE" w:rsidRPr="00F907DE" w:rsidRDefault="00F907DE" w:rsidP="00F907DE">
            <w:pPr>
              <w:widowControl/>
              <w:spacing w:line="360" w:lineRule="auto"/>
              <w:ind w:left="840" w:hangingChars="350" w:hanging="84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t xml:space="preserve">  　　        前項之一定數額如下：</w:t>
            </w:r>
          </w:p>
          <w:p w:rsidR="00F907DE" w:rsidRPr="00F907DE" w:rsidRDefault="00F907DE" w:rsidP="00F907DE">
            <w:pPr>
              <w:widowControl/>
              <w:tabs>
                <w:tab w:val="num" w:pos="1440"/>
              </w:tabs>
              <w:spacing w:line="360" w:lineRule="auto"/>
              <w:ind w:leftChars="367" w:left="881" w:firstLineChars="450" w:firstLine="108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t>一、行動電話業務：新臺幣一億元。</w:t>
            </w:r>
          </w:p>
          <w:p w:rsidR="00F907DE" w:rsidRPr="00F907DE" w:rsidRDefault="00F907DE" w:rsidP="00F907DE">
            <w:pPr>
              <w:widowControl/>
              <w:tabs>
                <w:tab w:val="num" w:pos="1440"/>
              </w:tabs>
              <w:spacing w:line="360" w:lineRule="auto"/>
              <w:ind w:leftChars="367" w:left="881" w:firstLineChars="450" w:firstLine="108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t>二、無線寬頻接取業務：新臺幣五千萬元。</w:t>
            </w:r>
          </w:p>
          <w:p w:rsidR="00F907DE" w:rsidRPr="00F907DE" w:rsidRDefault="00F907DE" w:rsidP="00F907DE">
            <w:pPr>
              <w:widowControl/>
              <w:tabs>
                <w:tab w:val="num" w:pos="1440"/>
              </w:tabs>
              <w:spacing w:line="360" w:lineRule="auto"/>
              <w:ind w:leftChars="367" w:left="881" w:firstLineChars="450" w:firstLine="108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t>三、綜合網路業務：新臺幣五千萬元。</w:t>
            </w:r>
          </w:p>
          <w:p w:rsidR="00F907DE" w:rsidRPr="00F907DE" w:rsidRDefault="00F907DE" w:rsidP="00F907DE">
            <w:pPr>
              <w:widowControl/>
              <w:tabs>
                <w:tab w:val="num" w:pos="1440"/>
              </w:tabs>
              <w:spacing w:line="360" w:lineRule="auto"/>
              <w:ind w:leftChars="817" w:left="2441" w:hangingChars="200" w:hanging="48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t>四、一九○○兆赫</w:t>
            </w:r>
            <w:proofErr w:type="gramStart"/>
            <w:r w:rsidRPr="00F907DE">
              <w:rPr>
                <w:rFonts w:ascii="新細明體" w:eastAsia="新細明體" w:hAnsi="新細明體" w:cs="Arial" w:hint="eastAsia"/>
                <w:color w:val="000000"/>
                <w:kern w:val="0"/>
                <w:szCs w:val="24"/>
              </w:rPr>
              <w:t>數位式低功率</w:t>
            </w:r>
            <w:proofErr w:type="gramEnd"/>
            <w:r w:rsidRPr="00F907DE">
              <w:rPr>
                <w:rFonts w:ascii="新細明體" w:eastAsia="新細明體" w:hAnsi="新細明體" w:cs="Arial" w:hint="eastAsia"/>
                <w:color w:val="000000"/>
                <w:kern w:val="0"/>
                <w:szCs w:val="24"/>
              </w:rPr>
              <w:t>無線電話業務：新臺幣一千萬元。</w:t>
            </w:r>
          </w:p>
          <w:p w:rsidR="00F907DE" w:rsidRPr="00F907DE" w:rsidRDefault="00F907DE" w:rsidP="00F907DE">
            <w:pPr>
              <w:widowControl/>
              <w:tabs>
                <w:tab w:val="num" w:pos="1440"/>
              </w:tabs>
              <w:spacing w:line="360" w:lineRule="auto"/>
              <w:ind w:leftChars="367" w:left="881" w:firstLineChars="450" w:firstLine="108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t>五、市內、長途或國際網路業務：新臺幣五百萬元。</w:t>
            </w:r>
          </w:p>
          <w:p w:rsidR="00F907DE" w:rsidRPr="00F907DE" w:rsidRDefault="00F907DE" w:rsidP="00F907DE">
            <w:pPr>
              <w:widowControl/>
              <w:tabs>
                <w:tab w:val="num" w:pos="1440"/>
              </w:tabs>
              <w:spacing w:line="360" w:lineRule="auto"/>
              <w:ind w:leftChars="367" w:left="881" w:firstLineChars="450" w:firstLine="1080"/>
              <w:rPr>
                <w:rFonts w:ascii="新細明體" w:eastAsia="新細明體" w:hAnsi="新細明體" w:cs="Arial" w:hint="eastAsia"/>
                <w:color w:val="000000"/>
                <w:kern w:val="0"/>
                <w:szCs w:val="24"/>
              </w:rPr>
            </w:pPr>
            <w:r w:rsidRPr="00F907DE">
              <w:rPr>
                <w:rFonts w:ascii="新細明體" w:eastAsia="新細明體" w:hAnsi="新細明體" w:cs="Arial" w:hint="eastAsia"/>
                <w:color w:val="000000"/>
                <w:kern w:val="0"/>
                <w:szCs w:val="24"/>
              </w:rPr>
              <w:lastRenderedPageBreak/>
              <w:t>六、其他業務：新臺幣</w:t>
            </w:r>
            <w:proofErr w:type="gramStart"/>
            <w:r w:rsidRPr="00F907DE">
              <w:rPr>
                <w:rFonts w:ascii="新細明體" w:eastAsia="新細明體" w:hAnsi="新細明體" w:cs="Arial" w:hint="eastAsia"/>
                <w:color w:val="000000"/>
                <w:kern w:val="0"/>
                <w:szCs w:val="24"/>
              </w:rPr>
              <w:t>一</w:t>
            </w:r>
            <w:proofErr w:type="gramEnd"/>
            <w:r w:rsidRPr="00F907DE">
              <w:rPr>
                <w:rFonts w:ascii="新細明體" w:eastAsia="新細明體" w:hAnsi="新細明體" w:cs="Arial" w:hint="eastAsia"/>
                <w:color w:val="000000"/>
                <w:kern w:val="0"/>
                <w:szCs w:val="24"/>
              </w:rPr>
              <w:t>百萬元。</w:t>
            </w:r>
          </w:p>
          <w:p w:rsidR="00F907DE" w:rsidRPr="00F907DE" w:rsidRDefault="00F907DE" w:rsidP="00F907DE">
            <w:pPr>
              <w:widowControl/>
              <w:spacing w:line="360" w:lineRule="auto"/>
              <w:ind w:left="1080" w:hanging="1080"/>
              <w:jc w:val="both"/>
              <w:rPr>
                <w:rFonts w:ascii="新細明體" w:eastAsia="新細明體" w:hAnsi="新細明體" w:cs="新細明體" w:hint="eastAsia"/>
                <w:color w:val="000000"/>
                <w:kern w:val="0"/>
                <w:szCs w:val="24"/>
              </w:rPr>
            </w:pPr>
          </w:p>
          <w:p w:rsidR="00F907DE" w:rsidRPr="00F907DE" w:rsidRDefault="00F907DE" w:rsidP="00F907DE">
            <w:pPr>
              <w:widowControl/>
              <w:spacing w:line="360" w:lineRule="auto"/>
              <w:ind w:left="1080" w:hanging="1080"/>
              <w:jc w:val="both"/>
              <w:rPr>
                <w:rFonts w:ascii="新細明體" w:eastAsia="新細明體" w:hAnsi="新細明體" w:cs="新細明體"/>
                <w:color w:val="000000"/>
                <w:kern w:val="0"/>
                <w:szCs w:val="24"/>
              </w:rPr>
            </w:pPr>
            <w:r w:rsidRPr="00F907DE">
              <w:rPr>
                <w:rFonts w:ascii="新細明體" w:eastAsia="新細明體" w:hAnsi="新細明體" w:cs="新細明體" w:hint="eastAsia"/>
                <w:color w:val="000000"/>
                <w:kern w:val="0"/>
                <w:szCs w:val="24"/>
              </w:rPr>
              <w:t>第 七 條      本標準自中華民國九十七年一月一日施行。</w:t>
            </w:r>
          </w:p>
        </w:tc>
      </w:tr>
    </w:tbl>
    <w:p w:rsidR="000462F0" w:rsidRPr="00F907DE" w:rsidRDefault="000462F0"/>
    <w:sectPr w:rsidR="000462F0" w:rsidRPr="00F907DE"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6C" w:rsidRDefault="008F476C" w:rsidP="00F907DE">
      <w:r>
        <w:separator/>
      </w:r>
    </w:p>
  </w:endnote>
  <w:endnote w:type="continuationSeparator" w:id="0">
    <w:p w:rsidR="008F476C" w:rsidRDefault="008F476C" w:rsidP="00F90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6C" w:rsidRDefault="008F476C" w:rsidP="00F907DE">
      <w:r>
        <w:separator/>
      </w:r>
    </w:p>
  </w:footnote>
  <w:footnote w:type="continuationSeparator" w:id="0">
    <w:p w:rsidR="008F476C" w:rsidRDefault="008F476C" w:rsidP="00F90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7DE"/>
    <w:rsid w:val="000462F0"/>
    <w:rsid w:val="0060797B"/>
    <w:rsid w:val="008F476C"/>
    <w:rsid w:val="00F907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07DE"/>
    <w:pPr>
      <w:tabs>
        <w:tab w:val="center" w:pos="4153"/>
        <w:tab w:val="right" w:pos="8306"/>
      </w:tabs>
      <w:snapToGrid w:val="0"/>
    </w:pPr>
    <w:rPr>
      <w:sz w:val="20"/>
      <w:szCs w:val="20"/>
    </w:rPr>
  </w:style>
  <w:style w:type="character" w:customStyle="1" w:styleId="a4">
    <w:name w:val="頁首 字元"/>
    <w:basedOn w:val="a0"/>
    <w:link w:val="a3"/>
    <w:uiPriority w:val="99"/>
    <w:semiHidden/>
    <w:rsid w:val="00F907DE"/>
    <w:rPr>
      <w:sz w:val="20"/>
      <w:szCs w:val="20"/>
    </w:rPr>
  </w:style>
  <w:style w:type="paragraph" w:styleId="a5">
    <w:name w:val="footer"/>
    <w:basedOn w:val="a"/>
    <w:link w:val="a6"/>
    <w:uiPriority w:val="99"/>
    <w:semiHidden/>
    <w:unhideWhenUsed/>
    <w:rsid w:val="00F907DE"/>
    <w:pPr>
      <w:tabs>
        <w:tab w:val="center" w:pos="4153"/>
        <w:tab w:val="right" w:pos="8306"/>
      </w:tabs>
      <w:snapToGrid w:val="0"/>
    </w:pPr>
    <w:rPr>
      <w:sz w:val="20"/>
      <w:szCs w:val="20"/>
    </w:rPr>
  </w:style>
  <w:style w:type="character" w:customStyle="1" w:styleId="a6">
    <w:name w:val="頁尾 字元"/>
    <w:basedOn w:val="a0"/>
    <w:link w:val="a5"/>
    <w:uiPriority w:val="99"/>
    <w:semiHidden/>
    <w:rsid w:val="00F907DE"/>
    <w:rPr>
      <w:sz w:val="20"/>
      <w:szCs w:val="20"/>
    </w:rPr>
  </w:style>
  <w:style w:type="character" w:styleId="a7">
    <w:name w:val="Hyperlink"/>
    <w:basedOn w:val="a0"/>
    <w:uiPriority w:val="99"/>
    <w:semiHidden/>
    <w:unhideWhenUsed/>
    <w:rsid w:val="00F907DE"/>
    <w:rPr>
      <w:color w:val="0000FF"/>
      <w:u w:val="single"/>
    </w:rPr>
  </w:style>
  <w:style w:type="character" w:customStyle="1" w:styleId="text13pt21">
    <w:name w:val="text13pt_21"/>
    <w:basedOn w:val="a0"/>
    <w:rsid w:val="00F907DE"/>
    <w:rPr>
      <w:rFonts w:ascii="Verdana" w:hAnsi="Verdana" w:hint="default"/>
      <w:strike w:val="0"/>
      <w:dstrike w:val="0"/>
      <w:color w:val="4F4F4F"/>
      <w:sz w:val="24"/>
      <w:szCs w:val="24"/>
      <w:u w:val="none"/>
      <w:effect w:val="none"/>
    </w:rPr>
  </w:style>
  <w:style w:type="paragraph" w:styleId="Web">
    <w:name w:val="Normal (Web)"/>
    <w:basedOn w:val="a"/>
    <w:uiPriority w:val="99"/>
    <w:unhideWhenUsed/>
    <w:rsid w:val="00F907D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2014-10-14T03:26:00Z</dcterms:created>
  <dc:creator>ncc</dc:creator>
  <lastModifiedBy>ncc</lastModifiedBy>
  <dcterms:modified xsi:type="dcterms:W3CDTF">2014-10-14T03:27:00Z</dcterms:modified>
  <revision>2</revision>
</coreProperties>
</file>