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435"/>
        <w:gridCol w:w="6871"/>
      </w:tblGrid>
      <w:tr w:rsidR="00200075" w:rsidRPr="00200075" w:rsidTr="00200075">
        <w:trPr>
          <w:tblCellSpacing w:w="0" w:type="dxa"/>
        </w:trPr>
        <w:tc>
          <w:tcPr>
            <w:tcW w:w="1435" w:type="dxa"/>
            <w:hideMark/>
          </w:tcPr>
          <w:p w:rsidR="00200075" w:rsidRPr="00200075" w:rsidRDefault="00200075" w:rsidP="00200075">
            <w:pPr>
              <w:widowControl/>
              <w:rPr>
                <w:rFonts w:ascii="新細明體" w:eastAsia="新細明體" w:hAnsi="新細明體" w:cs="新細明體"/>
                <w:color w:val="333333"/>
                <w:kern w:val="0"/>
                <w:szCs w:val="24"/>
              </w:rPr>
            </w:pPr>
          </w:p>
        </w:tc>
        <w:tc>
          <w:tcPr>
            <w:tcW w:w="6871" w:type="dxa"/>
            <w:vAlign w:val="center"/>
            <w:hideMark/>
          </w:tcPr>
          <w:tbl>
            <w:tblPr>
              <w:tblW w:w="4800" w:type="pct"/>
              <w:jc w:val="center"/>
              <w:tblCellSpacing w:w="0" w:type="dxa"/>
              <w:tblCellMar>
                <w:top w:w="180" w:type="dxa"/>
                <w:left w:w="180" w:type="dxa"/>
                <w:bottom w:w="180" w:type="dxa"/>
                <w:right w:w="180" w:type="dxa"/>
              </w:tblCellMar>
              <w:tblLook w:val="04A0"/>
            </w:tblPr>
            <w:tblGrid>
              <w:gridCol w:w="6596"/>
            </w:tblGrid>
            <w:tr w:rsidR="00200075" w:rsidRPr="00200075">
              <w:trPr>
                <w:trHeight w:val="1260"/>
                <w:tblCellSpacing w:w="0" w:type="dxa"/>
                <w:jc w:val="center"/>
              </w:trPr>
              <w:tc>
                <w:tcPr>
                  <w:tcW w:w="0" w:type="auto"/>
                  <w:vAlign w:val="center"/>
                  <w:hideMark/>
                </w:tcPr>
                <w:p w:rsidR="00200075" w:rsidRPr="00200075" w:rsidRDefault="00200075" w:rsidP="00200075">
                  <w:pPr>
                    <w:widowControl/>
                    <w:jc w:val="center"/>
                    <w:rPr>
                      <w:rFonts w:ascii="新細明體" w:eastAsia="新細明體" w:hAnsi="新細明體" w:cs="新細明體"/>
                      <w:color w:val="333333"/>
                      <w:kern w:val="0"/>
                      <w:szCs w:val="24"/>
                    </w:rPr>
                  </w:pPr>
                </w:p>
              </w:tc>
            </w:tr>
            <w:tr w:rsidR="00200075" w:rsidRPr="00200075">
              <w:trPr>
                <w:tblCellSpacing w:w="0" w:type="dxa"/>
                <w:jc w:val="center"/>
              </w:trPr>
              <w:tc>
                <w:tcPr>
                  <w:tcW w:w="0" w:type="auto"/>
                  <w:vAlign w:val="center"/>
                  <w:hideMark/>
                </w:tcPr>
                <w:p w:rsidR="00200075" w:rsidRPr="00200075" w:rsidRDefault="00200075" w:rsidP="00200075">
                  <w:pPr>
                    <w:widowControl/>
                    <w:spacing w:before="100" w:beforeAutospacing="1" w:after="100" w:afterAutospacing="1" w:line="320" w:lineRule="atLeast"/>
                    <w:rPr>
                      <w:rFonts w:ascii="新細明體" w:eastAsia="新細明體" w:hAnsi="新細明體" w:cs="新細明體"/>
                      <w:color w:val="333333"/>
                      <w:kern w:val="0"/>
                      <w:sz w:val="20"/>
                      <w:szCs w:val="20"/>
                    </w:rPr>
                  </w:pPr>
                </w:p>
              </w:tc>
            </w:tr>
          </w:tbl>
          <w:p w:rsidR="00200075" w:rsidRPr="00200075" w:rsidRDefault="00200075" w:rsidP="00200075">
            <w:pPr>
              <w:widowControl/>
              <w:jc w:val="center"/>
              <w:rPr>
                <w:rFonts w:ascii="新細明體" w:eastAsia="新細明體" w:hAnsi="新細明體" w:cs="新細明體"/>
                <w:color w:val="333333"/>
                <w:kern w:val="0"/>
                <w:szCs w:val="24"/>
              </w:rPr>
            </w:pPr>
          </w:p>
        </w:tc>
      </w:tr>
    </w:tbl>
    <w:p w:rsidR="00200075" w:rsidRPr="00200075" w:rsidRDefault="00200075" w:rsidP="00200075">
      <w:pPr>
        <w:widowControl/>
        <w:spacing w:before="100" w:beforeAutospacing="1" w:after="100" w:afterAutospacing="1" w:line="320" w:lineRule="atLeast"/>
        <w:rPr>
          <w:rFonts w:ascii="標楷體" w:eastAsia="標楷體" w:hAnsi="標楷體" w:cs="新細明體"/>
          <w:color w:val="333333"/>
          <w:kern w:val="0"/>
          <w:sz w:val="28"/>
          <w:szCs w:val="28"/>
        </w:rPr>
      </w:pPr>
      <w:r w:rsidRPr="00200075">
        <w:rPr>
          <w:rFonts w:ascii="標楷體" w:eastAsia="標楷體" w:hAnsi="標楷體" w:cs="新細明體"/>
          <w:color w:val="333333"/>
          <w:kern w:val="0"/>
          <w:sz w:val="28"/>
          <w:szCs w:val="28"/>
        </w:rPr>
        <w:t>電信管制</w:t>
      </w:r>
      <w:proofErr w:type="gramStart"/>
      <w:r w:rsidRPr="00200075">
        <w:rPr>
          <w:rFonts w:ascii="標楷體" w:eastAsia="標楷體" w:hAnsi="標楷體" w:cs="新細明體"/>
          <w:color w:val="333333"/>
          <w:kern w:val="0"/>
          <w:sz w:val="28"/>
          <w:szCs w:val="28"/>
        </w:rPr>
        <w:t>器材審驗及</w:t>
      </w:r>
      <w:proofErr w:type="gramEnd"/>
      <w:r w:rsidRPr="00200075">
        <w:rPr>
          <w:rFonts w:ascii="標楷體" w:eastAsia="標楷體" w:hAnsi="標楷體" w:cs="新細明體"/>
          <w:color w:val="333333"/>
          <w:kern w:val="0"/>
          <w:sz w:val="28"/>
          <w:szCs w:val="28"/>
        </w:rPr>
        <w:t>認證辦法修正總說明</w:t>
      </w:r>
    </w:p>
    <w:p w:rsidR="00200075" w:rsidRPr="00200075" w:rsidRDefault="00200075" w:rsidP="00200075">
      <w:pPr>
        <w:widowControl/>
        <w:snapToGrid w:val="0"/>
        <w:spacing w:before="100" w:beforeAutospacing="1" w:after="100" w:afterAutospacing="1" w:line="300" w:lineRule="atLeast"/>
        <w:rPr>
          <w:rFonts w:ascii="標楷體" w:eastAsia="標楷體" w:hAnsi="標楷體" w:cs="新細明體"/>
          <w:color w:val="333333"/>
          <w:kern w:val="0"/>
          <w:sz w:val="28"/>
          <w:szCs w:val="28"/>
        </w:rPr>
      </w:pPr>
      <w:r w:rsidRPr="00200075">
        <w:rPr>
          <w:rFonts w:ascii="標楷體" w:eastAsia="標楷體" w:hAnsi="標楷體" w:cs="新細明體"/>
          <w:color w:val="333333"/>
          <w:kern w:val="0"/>
          <w:sz w:val="28"/>
          <w:szCs w:val="28"/>
        </w:rPr>
        <w:t>中華民國九十一年八月三十日電信工字第0910505906-1號令修正全文二十四條、附件一至三、附表一至四</w:t>
      </w:r>
    </w:p>
    <w:p w:rsidR="00F61E36" w:rsidRPr="00200075" w:rsidRDefault="00200075" w:rsidP="00200075">
      <w:pPr>
        <w:snapToGrid w:val="0"/>
        <w:rPr>
          <w:rFonts w:ascii="標楷體" w:eastAsia="標楷體" w:hAnsi="標楷體"/>
          <w:sz w:val="28"/>
          <w:szCs w:val="28"/>
        </w:rPr>
      </w:pPr>
      <w:r w:rsidRPr="00200075">
        <w:rPr>
          <w:rFonts w:ascii="標楷體" w:eastAsia="標楷體" w:hAnsi="標楷體" w:cs="新細明體"/>
          <w:color w:val="333333"/>
          <w:kern w:val="0"/>
          <w:sz w:val="28"/>
          <w:szCs w:val="28"/>
        </w:rPr>
        <w:t xml:space="preserve">　　為配合八十八年十一月三日修正公布之電信法與九十年一月一日施行之行政程序法，及為依循WTO技術性貿易障礙(TBT)協定，各會員國應建立符合性評鑑架構，藉由相互承認的方式以消除技術性貿易障礙，</w:t>
      </w:r>
      <w:proofErr w:type="gramStart"/>
      <w:r w:rsidRPr="00200075">
        <w:rPr>
          <w:rFonts w:ascii="標楷體" w:eastAsia="標楷體" w:hAnsi="標楷體" w:cs="新細明體"/>
          <w:color w:val="333333"/>
          <w:kern w:val="0"/>
          <w:sz w:val="28"/>
          <w:szCs w:val="28"/>
        </w:rPr>
        <w:t>爰</w:t>
      </w:r>
      <w:proofErr w:type="gramEnd"/>
      <w:r w:rsidRPr="00200075">
        <w:rPr>
          <w:rFonts w:ascii="標楷體" w:eastAsia="標楷體" w:hAnsi="標楷體" w:cs="新細明體"/>
          <w:color w:val="333333"/>
          <w:kern w:val="0"/>
          <w:sz w:val="28"/>
          <w:szCs w:val="28"/>
        </w:rPr>
        <w:t>檢討增修部分條文。另為遵守亞太經合會（APEC）電信暨資訊產業部長宣言，兌現我國對於實施電信設備符合性評鑑相互承認協定（APEC TEL MRA）第二階段「設備驗證相互承認」之承諾，及落實政府再造有關政府業務委外辦理政策，放寬受託</w:t>
      </w:r>
      <w:proofErr w:type="gramStart"/>
      <w:r w:rsidRPr="00200075">
        <w:rPr>
          <w:rFonts w:ascii="標楷體" w:eastAsia="標楷體" w:hAnsi="標楷體" w:cs="新細明體"/>
          <w:color w:val="333333"/>
          <w:kern w:val="0"/>
          <w:sz w:val="28"/>
          <w:szCs w:val="28"/>
        </w:rPr>
        <w:t>辦理審驗工作者</w:t>
      </w:r>
      <w:proofErr w:type="gramEnd"/>
      <w:r w:rsidRPr="00200075">
        <w:rPr>
          <w:rFonts w:ascii="標楷體" w:eastAsia="標楷體" w:hAnsi="標楷體" w:cs="新細明體"/>
          <w:color w:val="333333"/>
          <w:kern w:val="0"/>
          <w:sz w:val="28"/>
          <w:szCs w:val="28"/>
        </w:rPr>
        <w:t>之資格，充分運用民間資源</w:t>
      </w:r>
      <w:proofErr w:type="gramStart"/>
      <w:r w:rsidRPr="00200075">
        <w:rPr>
          <w:rFonts w:ascii="標楷體" w:eastAsia="標楷體" w:hAnsi="標楷體" w:cs="新細明體"/>
          <w:color w:val="333333"/>
          <w:kern w:val="0"/>
          <w:sz w:val="28"/>
          <w:szCs w:val="28"/>
        </w:rPr>
        <w:t>辦理審驗工作</w:t>
      </w:r>
      <w:proofErr w:type="gramEnd"/>
      <w:r w:rsidRPr="00200075">
        <w:rPr>
          <w:rFonts w:ascii="標楷體" w:eastAsia="標楷體" w:hAnsi="標楷體" w:cs="新細明體"/>
          <w:color w:val="333333"/>
          <w:kern w:val="0"/>
          <w:sz w:val="28"/>
          <w:szCs w:val="28"/>
        </w:rPr>
        <w:t>，</w:t>
      </w:r>
      <w:proofErr w:type="gramStart"/>
      <w:r w:rsidRPr="00200075">
        <w:rPr>
          <w:rFonts w:ascii="標楷體" w:eastAsia="標楷體" w:hAnsi="標楷體" w:cs="新細明體"/>
          <w:color w:val="333333"/>
          <w:kern w:val="0"/>
          <w:sz w:val="28"/>
          <w:szCs w:val="28"/>
        </w:rPr>
        <w:t>爰</w:t>
      </w:r>
      <w:proofErr w:type="gramEnd"/>
      <w:r w:rsidRPr="00200075">
        <w:rPr>
          <w:rFonts w:ascii="標楷體" w:eastAsia="標楷體" w:hAnsi="標楷體" w:cs="新細明體"/>
          <w:color w:val="333333"/>
          <w:kern w:val="0"/>
          <w:sz w:val="28"/>
          <w:szCs w:val="28"/>
        </w:rPr>
        <w:t>增訂委託民間機構實施驗證之機制。茲</w:t>
      </w:r>
      <w:proofErr w:type="gramStart"/>
      <w:r w:rsidRPr="00200075">
        <w:rPr>
          <w:rFonts w:ascii="標楷體" w:eastAsia="標楷體" w:hAnsi="標楷體" w:cs="新細明體"/>
          <w:color w:val="333333"/>
          <w:kern w:val="0"/>
          <w:sz w:val="28"/>
          <w:szCs w:val="28"/>
        </w:rPr>
        <w:t>分述本次</w:t>
      </w:r>
      <w:proofErr w:type="gramEnd"/>
      <w:r w:rsidRPr="00200075">
        <w:rPr>
          <w:rFonts w:ascii="標楷體" w:eastAsia="標楷體" w:hAnsi="標楷體" w:cs="新細明體"/>
          <w:color w:val="333333"/>
          <w:kern w:val="0"/>
          <w:sz w:val="28"/>
          <w:szCs w:val="28"/>
        </w:rPr>
        <w:t>增修重點如下：</w:t>
      </w:r>
      <w:r w:rsidRPr="00200075">
        <w:rPr>
          <w:rFonts w:ascii="標楷體" w:eastAsia="標楷體" w:hAnsi="標楷體" w:cs="新細明體"/>
          <w:color w:val="333333"/>
          <w:kern w:val="0"/>
          <w:sz w:val="28"/>
          <w:szCs w:val="28"/>
        </w:rPr>
        <w:br/>
        <w:t>一、增訂申請電信管制器材</w:t>
      </w:r>
      <w:proofErr w:type="gramStart"/>
      <w:r w:rsidRPr="00200075">
        <w:rPr>
          <w:rFonts w:ascii="標楷體" w:eastAsia="標楷體" w:hAnsi="標楷體" w:cs="新細明體"/>
          <w:color w:val="333333"/>
          <w:kern w:val="0"/>
          <w:sz w:val="28"/>
          <w:szCs w:val="28"/>
        </w:rPr>
        <w:t>之審驗及</w:t>
      </w:r>
      <w:proofErr w:type="gramEnd"/>
      <w:r w:rsidRPr="00200075">
        <w:rPr>
          <w:rFonts w:ascii="標楷體" w:eastAsia="標楷體" w:hAnsi="標楷體" w:cs="新細明體"/>
          <w:color w:val="333333"/>
          <w:kern w:val="0"/>
          <w:sz w:val="28"/>
          <w:szCs w:val="28"/>
        </w:rPr>
        <w:t>認證，以其用途為販賣或自用而異其程序，並以數量為供自用之電信管制器材之認定標準。（修正條文第四條）</w:t>
      </w:r>
      <w:r w:rsidRPr="00200075">
        <w:rPr>
          <w:rFonts w:ascii="標楷體" w:eastAsia="標楷體" w:hAnsi="標楷體" w:cs="新細明體"/>
          <w:color w:val="333333"/>
          <w:kern w:val="0"/>
          <w:sz w:val="28"/>
          <w:szCs w:val="28"/>
        </w:rPr>
        <w:br/>
        <w:t>二、供販賣用電信管制</w:t>
      </w:r>
      <w:proofErr w:type="gramStart"/>
      <w:r w:rsidRPr="00200075">
        <w:rPr>
          <w:rFonts w:ascii="標楷體" w:eastAsia="標楷體" w:hAnsi="標楷體" w:cs="新細明體"/>
          <w:color w:val="333333"/>
          <w:kern w:val="0"/>
          <w:sz w:val="28"/>
          <w:szCs w:val="28"/>
        </w:rPr>
        <w:t>器材審驗及</w:t>
      </w:r>
      <w:proofErr w:type="gramEnd"/>
      <w:r w:rsidRPr="00200075">
        <w:rPr>
          <w:rFonts w:ascii="標楷體" w:eastAsia="標楷體" w:hAnsi="標楷體" w:cs="新細明體"/>
          <w:color w:val="333333"/>
          <w:kern w:val="0"/>
          <w:sz w:val="28"/>
          <w:szCs w:val="28"/>
        </w:rPr>
        <w:t>認證，交通部電信總局得委託經其認可之機構辦理之；電信管制器材之檢驗，由該局認可或經該局認可實驗室認證機構認可之測試實驗室辦理之。（修正條文第五條及第六條第二項）</w:t>
      </w:r>
      <w:r w:rsidRPr="00200075">
        <w:rPr>
          <w:rFonts w:ascii="標楷體" w:eastAsia="標楷體" w:hAnsi="標楷體" w:cs="新細明體"/>
          <w:color w:val="333333"/>
          <w:kern w:val="0"/>
          <w:sz w:val="28"/>
          <w:szCs w:val="28"/>
        </w:rPr>
        <w:br/>
        <w:t>三、增訂測試報告內容，</w:t>
      </w:r>
      <w:proofErr w:type="gramStart"/>
      <w:r w:rsidRPr="00200075">
        <w:rPr>
          <w:rFonts w:ascii="標楷體" w:eastAsia="標楷體" w:hAnsi="標楷體" w:cs="新細明體"/>
          <w:color w:val="333333"/>
          <w:kern w:val="0"/>
          <w:sz w:val="28"/>
          <w:szCs w:val="28"/>
        </w:rPr>
        <w:t>俾</w:t>
      </w:r>
      <w:proofErr w:type="gramEnd"/>
      <w:r w:rsidRPr="00200075">
        <w:rPr>
          <w:rFonts w:ascii="標楷體" w:eastAsia="標楷體" w:hAnsi="標楷體" w:cs="新細明體"/>
          <w:color w:val="333333"/>
          <w:kern w:val="0"/>
          <w:sz w:val="28"/>
          <w:szCs w:val="28"/>
        </w:rPr>
        <w:t>使測試實驗室製作報告及驗證機關（構）審核時有所遵循。（修正條文第七條）</w:t>
      </w:r>
      <w:r w:rsidRPr="00200075">
        <w:rPr>
          <w:rFonts w:ascii="標楷體" w:eastAsia="標楷體" w:hAnsi="標楷體" w:cs="新細明體"/>
          <w:color w:val="333333"/>
          <w:kern w:val="0"/>
          <w:sz w:val="28"/>
          <w:szCs w:val="28"/>
        </w:rPr>
        <w:br/>
        <w:t>四、修正國際相互承認之條件與範疇，以落實國際相互承認協議之達成，並建立國際互惠機制。（修正條文第十三條第二項及第四項）</w:t>
      </w:r>
      <w:r w:rsidRPr="00200075">
        <w:rPr>
          <w:rFonts w:ascii="標楷體" w:eastAsia="標楷體" w:hAnsi="標楷體" w:cs="新細明體"/>
          <w:color w:val="333333"/>
          <w:kern w:val="0"/>
          <w:sz w:val="28"/>
          <w:szCs w:val="28"/>
        </w:rPr>
        <w:br/>
        <w:t>五、增訂經撤銷或廢止型式認證證明者，自撤銷或廢止日起三個月內不得重新</w:t>
      </w:r>
      <w:proofErr w:type="gramStart"/>
      <w:r w:rsidRPr="00200075">
        <w:rPr>
          <w:rFonts w:ascii="標楷體" w:eastAsia="標楷體" w:hAnsi="標楷體" w:cs="新細明體"/>
          <w:color w:val="333333"/>
          <w:kern w:val="0"/>
          <w:sz w:val="28"/>
          <w:szCs w:val="28"/>
        </w:rPr>
        <w:t>申請審驗</w:t>
      </w:r>
      <w:proofErr w:type="gramEnd"/>
      <w:r w:rsidRPr="00200075">
        <w:rPr>
          <w:rFonts w:ascii="標楷體" w:eastAsia="標楷體" w:hAnsi="標楷體" w:cs="新細明體"/>
          <w:color w:val="333333"/>
          <w:kern w:val="0"/>
          <w:sz w:val="28"/>
          <w:szCs w:val="28"/>
        </w:rPr>
        <w:t>、認證。（修正條文第二十條）</w:t>
      </w:r>
    </w:p>
    <w:sectPr w:rsidR="00F61E36" w:rsidRPr="00200075" w:rsidSect="00F61E36">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0075"/>
    <w:rsid w:val="00200075"/>
    <w:rsid w:val="00B12BF6"/>
    <w:rsid w:val="00F61E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3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0075"/>
    <w:rPr>
      <w:color w:val="FF6600"/>
      <w:u w:val="single"/>
    </w:rPr>
  </w:style>
  <w:style w:type="paragraph" w:customStyle="1" w:styleId="s1">
    <w:name w:val="s1"/>
    <w:basedOn w:val="a"/>
    <w:rsid w:val="00200075"/>
    <w:pPr>
      <w:widowControl/>
      <w:spacing w:before="100" w:beforeAutospacing="1" w:after="100" w:afterAutospacing="1" w:line="320" w:lineRule="atLeast"/>
    </w:pPr>
    <w:rPr>
      <w:rFonts w:ascii="新細明體" w:eastAsia="新細明體" w:hAnsi="新細明體" w:cs="新細明體"/>
      <w:color w:val="333333"/>
      <w:kern w:val="0"/>
      <w:sz w:val="20"/>
      <w:szCs w:val="20"/>
    </w:rPr>
  </w:style>
  <w:style w:type="paragraph" w:customStyle="1" w:styleId="s2">
    <w:name w:val="s2"/>
    <w:basedOn w:val="a"/>
    <w:rsid w:val="00200075"/>
    <w:pPr>
      <w:widowControl/>
      <w:spacing w:before="100" w:beforeAutospacing="1" w:after="100" w:afterAutospacing="1" w:line="300" w:lineRule="atLeast"/>
    </w:pPr>
    <w:rPr>
      <w:rFonts w:ascii="新細明體" w:eastAsia="新細明體" w:hAnsi="新細明體" w:cs="新細明體"/>
      <w:color w:val="333333"/>
      <w:kern w:val="0"/>
      <w:sz w:val="16"/>
      <w:szCs w:val="16"/>
    </w:rPr>
  </w:style>
  <w:style w:type="paragraph" w:styleId="a4">
    <w:name w:val="Balloon Text"/>
    <w:basedOn w:val="a"/>
    <w:link w:val="a5"/>
    <w:uiPriority w:val="99"/>
    <w:semiHidden/>
    <w:unhideWhenUsed/>
    <w:rsid w:val="0020007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0007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4417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2014-12-01T03:23:00Z</dcterms:created>
  <dc:creator>syyen</dc:creator>
  <lastModifiedBy>syyen</lastModifiedBy>
  <dcterms:modified xsi:type="dcterms:W3CDTF">2014-12-01T03:25:00Z</dcterms:modified>
  <revision>1</revision>
</coreProperties>
</file>