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F112B">
      <w:pPr>
        <w:pStyle w:val="Normal"/>
        <w:tabs>
          <w:tab w:val="left" w:pos="14040"/>
        </w:tabs>
        <w:snapToGrid w:val="0"/>
        <w:spacing w:line="240" w:lineRule="atLeast"/>
        <w:ind w:right="119"/>
        <w:jc w:val="both"/>
        <w:textDirection w:val="lrTbV"/>
        <w:rPr>
          <w:rFonts w:hint="eastAsia"/>
          <w:sz w:val="28"/>
        </w:rPr>
      </w:pPr>
      <w:r>
        <w:rPr>
          <w:rFonts w:hint="eastAsia"/>
          <w:sz w:val="28"/>
        </w:rPr>
        <w:t>工業科學醫療用電波輻射性電機管理辦法部分條文修正對照表</w:t>
      </w:r>
    </w:p>
    <w:p w:rsidR="00000000" w:rsidRDefault="000F112B">
      <w:pPr>
        <w:pStyle w:val="1"/>
        <w:tabs>
          <w:tab w:val="left" w:pos="14040"/>
        </w:tabs>
        <w:snapToGrid w:val="0"/>
        <w:spacing w:line="240" w:lineRule="atLeast"/>
        <w:textDirection w:val="lrTbV"/>
        <w:rPr>
          <w:rFonts w:hint="eastAsia"/>
          <w:sz w:val="20"/>
        </w:rPr>
      </w:pPr>
      <w:r>
        <w:rPr>
          <w:rFonts w:hint="eastAsia"/>
          <w:sz w:val="20"/>
        </w:rPr>
        <w:t>中華民國九十一年十月二十三日交通部</w:t>
      </w:r>
      <w:proofErr w:type="gramStart"/>
      <w:r>
        <w:rPr>
          <w:rFonts w:hint="eastAsia"/>
          <w:sz w:val="20"/>
        </w:rPr>
        <w:t>交郵發</w:t>
      </w:r>
      <w:proofErr w:type="gramEnd"/>
      <w:r>
        <w:rPr>
          <w:rFonts w:hint="eastAsia"/>
          <w:sz w:val="20"/>
        </w:rPr>
        <w:t>字第</w:t>
      </w:r>
      <w:r>
        <w:rPr>
          <w:sz w:val="20"/>
        </w:rPr>
        <w:t>0</w:t>
      </w:r>
      <w:r>
        <w:rPr>
          <w:rFonts w:hint="eastAsia"/>
          <w:sz w:val="20"/>
        </w:rPr>
        <w:t>91</w:t>
      </w:r>
      <w:r>
        <w:rPr>
          <w:sz w:val="20"/>
        </w:rPr>
        <w:t>B00012</w:t>
      </w:r>
      <w:r>
        <w:rPr>
          <w:rFonts w:hint="eastAsia"/>
          <w:sz w:val="20"/>
        </w:rPr>
        <w:t>1</w:t>
      </w:r>
      <w:r>
        <w:rPr>
          <w:rFonts w:hint="eastAsia"/>
          <w:sz w:val="20"/>
        </w:rPr>
        <w:t>號令發布刪除第七條、第八條、第九條、第二十</w:t>
      </w:r>
      <w:proofErr w:type="gramStart"/>
      <w:r>
        <w:rPr>
          <w:rFonts w:hint="eastAsia"/>
          <w:sz w:val="20"/>
        </w:rPr>
        <w:t>條</w:t>
      </w:r>
      <w:proofErr w:type="gramEnd"/>
      <w:r>
        <w:rPr>
          <w:rFonts w:hint="eastAsia"/>
          <w:sz w:val="20"/>
        </w:rPr>
        <w:t>條文</w:t>
      </w:r>
    </w:p>
    <w:tbl>
      <w:tblPr>
        <w:tblW w:w="0" w:type="auto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360"/>
        <w:gridCol w:w="5400"/>
        <w:gridCol w:w="552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360" w:type="dxa"/>
          </w:tcPr>
          <w:p w:rsidR="00000000" w:rsidRDefault="000F112B">
            <w:pPr>
              <w:jc w:val="center"/>
              <w:rPr>
                <w:rFonts w:ascii="細明體" w:eastAsia="細明體" w:hint="eastAsia"/>
                <w:sz w:val="28"/>
              </w:rPr>
            </w:pPr>
            <w:r>
              <w:rPr>
                <w:rFonts w:ascii="細明體" w:eastAsia="細明體" w:hint="eastAsia"/>
                <w:sz w:val="28"/>
              </w:rPr>
              <w:t>修</w:t>
            </w:r>
            <w:r>
              <w:rPr>
                <w:rFonts w:ascii="細明體" w:eastAsia="細明體"/>
                <w:sz w:val="28"/>
              </w:rPr>
              <w:t xml:space="preserve">   </w:t>
            </w:r>
            <w:r>
              <w:rPr>
                <w:rFonts w:ascii="細明體" w:eastAsia="細明體" w:hint="eastAsia"/>
                <w:sz w:val="28"/>
              </w:rPr>
              <w:t>正</w:t>
            </w:r>
            <w:r>
              <w:rPr>
                <w:rFonts w:ascii="細明體" w:eastAsia="細明體"/>
                <w:sz w:val="28"/>
              </w:rPr>
              <w:t xml:space="preserve">   </w:t>
            </w:r>
            <w:r>
              <w:rPr>
                <w:rFonts w:ascii="細明體" w:eastAsia="細明體" w:hint="eastAsia"/>
                <w:sz w:val="28"/>
              </w:rPr>
              <w:t>條</w:t>
            </w:r>
            <w:r>
              <w:rPr>
                <w:rFonts w:ascii="細明體" w:eastAsia="細明體"/>
                <w:sz w:val="28"/>
              </w:rPr>
              <w:t xml:space="preserve">   </w:t>
            </w:r>
            <w:r>
              <w:rPr>
                <w:rFonts w:ascii="細明體" w:eastAsia="細明體" w:hint="eastAsia"/>
                <w:sz w:val="28"/>
              </w:rPr>
              <w:t>文</w:t>
            </w:r>
          </w:p>
        </w:tc>
        <w:tc>
          <w:tcPr>
            <w:tcW w:w="5400" w:type="dxa"/>
          </w:tcPr>
          <w:p w:rsidR="00000000" w:rsidRDefault="000F112B">
            <w:pPr>
              <w:jc w:val="center"/>
              <w:rPr>
                <w:rFonts w:ascii="細明體" w:eastAsia="細明體" w:hint="eastAsia"/>
                <w:sz w:val="28"/>
              </w:rPr>
            </w:pPr>
            <w:r>
              <w:rPr>
                <w:rFonts w:ascii="細明體" w:eastAsia="細明體" w:hint="eastAsia"/>
                <w:sz w:val="28"/>
              </w:rPr>
              <w:t>現</w:t>
            </w:r>
            <w:r>
              <w:rPr>
                <w:rFonts w:ascii="細明體" w:eastAsia="細明體"/>
                <w:sz w:val="28"/>
              </w:rPr>
              <w:t xml:space="preserve">   </w:t>
            </w:r>
            <w:r>
              <w:rPr>
                <w:rFonts w:ascii="細明體" w:eastAsia="細明體" w:hint="eastAsia"/>
                <w:sz w:val="28"/>
              </w:rPr>
              <w:t>行</w:t>
            </w:r>
            <w:r>
              <w:rPr>
                <w:rFonts w:ascii="細明體" w:eastAsia="細明體"/>
                <w:sz w:val="28"/>
              </w:rPr>
              <w:t xml:space="preserve">   </w:t>
            </w:r>
            <w:r>
              <w:rPr>
                <w:rFonts w:ascii="細明體" w:eastAsia="細明體" w:hint="eastAsia"/>
                <w:sz w:val="28"/>
              </w:rPr>
              <w:t>條</w:t>
            </w:r>
            <w:r>
              <w:rPr>
                <w:rFonts w:ascii="細明體" w:eastAsia="細明體"/>
                <w:sz w:val="28"/>
              </w:rPr>
              <w:t xml:space="preserve">   </w:t>
            </w:r>
            <w:r>
              <w:rPr>
                <w:rFonts w:ascii="細明體" w:eastAsia="細明體" w:hint="eastAsia"/>
                <w:sz w:val="28"/>
              </w:rPr>
              <w:t>文</w:t>
            </w:r>
          </w:p>
        </w:tc>
        <w:tc>
          <w:tcPr>
            <w:tcW w:w="5520" w:type="dxa"/>
          </w:tcPr>
          <w:p w:rsidR="00000000" w:rsidRDefault="000F112B">
            <w:pPr>
              <w:jc w:val="center"/>
              <w:rPr>
                <w:rFonts w:ascii="細明體" w:eastAsia="細明體" w:hint="eastAsia"/>
                <w:sz w:val="28"/>
              </w:rPr>
            </w:pPr>
            <w:r>
              <w:rPr>
                <w:rFonts w:ascii="細明體" w:eastAsia="細明體" w:hint="eastAsia"/>
                <w:sz w:val="28"/>
              </w:rPr>
              <w:t>說</w:t>
            </w:r>
            <w:r>
              <w:rPr>
                <w:rFonts w:ascii="細明體" w:eastAsia="細明體"/>
                <w:sz w:val="28"/>
              </w:rPr>
              <w:t xml:space="preserve">   </w:t>
            </w:r>
            <w:r>
              <w:rPr>
                <w:rFonts w:ascii="細明體" w:eastAsia="細明體" w:hint="eastAsia"/>
                <w:sz w:val="28"/>
              </w:rPr>
              <w:t>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02"/>
        </w:trPr>
        <w:tc>
          <w:tcPr>
            <w:tcW w:w="3360" w:type="dxa"/>
          </w:tcPr>
          <w:p w:rsidR="00000000" w:rsidRDefault="000F112B">
            <w:pPr>
              <w:spacing w:line="400" w:lineRule="atLeast"/>
              <w:jc w:val="both"/>
              <w:rPr>
                <w:rFonts w:ascii="細明體" w:eastAsia="細明體"/>
                <w:spacing w:val="-2"/>
                <w:sz w:val="28"/>
                <w:u w:val="single"/>
              </w:rPr>
            </w:pPr>
            <w:r>
              <w:rPr>
                <w:rFonts w:ascii="細明體" w:eastAsia="細明體" w:hint="eastAsia"/>
                <w:sz w:val="28"/>
              </w:rPr>
              <w:t>第七條（刪除）</w:t>
            </w:r>
          </w:p>
        </w:tc>
        <w:tc>
          <w:tcPr>
            <w:tcW w:w="5400" w:type="dxa"/>
          </w:tcPr>
          <w:p w:rsidR="00000000" w:rsidRDefault="000F112B">
            <w:pPr>
              <w:widowControl/>
              <w:autoSpaceDE w:val="0"/>
              <w:autoSpaceDN w:val="0"/>
              <w:ind w:left="567" w:hanging="567"/>
              <w:jc w:val="both"/>
              <w:textDirection w:val="lrTbV"/>
              <w:textAlignment w:val="center"/>
              <w:rPr>
                <w:rFonts w:ascii="細明體" w:eastAsia="細明體"/>
                <w:sz w:val="28"/>
              </w:rPr>
            </w:pPr>
            <w:r>
              <w:rPr>
                <w:rFonts w:ascii="細明體" w:eastAsia="細明體" w:hint="eastAsia"/>
                <w:sz w:val="28"/>
              </w:rPr>
              <w:t>第七條</w:t>
            </w:r>
            <w:r>
              <w:rPr>
                <w:rFonts w:ascii="細明體" w:eastAsia="細明體"/>
                <w:sz w:val="28"/>
              </w:rPr>
              <w:t xml:space="preserve">  </w:t>
            </w:r>
            <w:r>
              <w:rPr>
                <w:rFonts w:ascii="細明體" w:eastAsia="細明體" w:hint="eastAsia"/>
                <w:sz w:val="28"/>
              </w:rPr>
              <w:t>經營工科</w:t>
            </w:r>
            <w:proofErr w:type="gramStart"/>
            <w:r>
              <w:rPr>
                <w:rFonts w:ascii="細明體" w:eastAsia="細明體" w:hint="eastAsia"/>
                <w:sz w:val="28"/>
              </w:rPr>
              <w:t>醫</w:t>
            </w:r>
            <w:proofErr w:type="gramEnd"/>
            <w:r>
              <w:rPr>
                <w:rFonts w:ascii="細明體" w:eastAsia="細明體" w:hint="eastAsia"/>
                <w:sz w:val="28"/>
              </w:rPr>
              <w:t>用電機輸入或製造業務之公司、商號，應檢具申請書向電信總局申請許可，經電信總局核發許可函，依法辦妥公司或商業登記及營利事業登記證後，檢具各該證照影本，向電信總局申請核發電信管制射頻器材經營許可執照，始得輸入或製造。</w:t>
            </w:r>
          </w:p>
        </w:tc>
        <w:tc>
          <w:tcPr>
            <w:tcW w:w="5520" w:type="dxa"/>
          </w:tcPr>
          <w:p w:rsidR="00000000" w:rsidRDefault="000F112B">
            <w:pPr>
              <w:widowControl/>
              <w:numPr>
                <w:ilvl w:val="0"/>
                <w:numId w:val="9"/>
              </w:numPr>
              <w:overflowPunct w:val="0"/>
              <w:autoSpaceDE w:val="0"/>
              <w:autoSpaceDN w:val="0"/>
              <w:jc w:val="both"/>
              <w:textDirection w:val="lrTbV"/>
              <w:textAlignment w:val="center"/>
              <w:rPr>
                <w:rFonts w:ascii="細明體" w:eastAsia="細明體" w:hint="eastAsia"/>
                <w:sz w:val="28"/>
              </w:rPr>
            </w:pPr>
            <w:r>
              <w:rPr>
                <w:rFonts w:ascii="細明體" w:eastAsia="細明體" w:hint="eastAsia"/>
                <w:sz w:val="28"/>
                <w:u w:val="single"/>
              </w:rPr>
              <w:t>本條刪除</w:t>
            </w:r>
            <w:r>
              <w:rPr>
                <w:rFonts w:ascii="細明體" w:eastAsia="細明體" w:hint="eastAsia"/>
                <w:sz w:val="28"/>
              </w:rPr>
              <w:t>。</w:t>
            </w:r>
          </w:p>
          <w:p w:rsidR="00000000" w:rsidRDefault="000F112B">
            <w:pPr>
              <w:widowControl/>
              <w:numPr>
                <w:ilvl w:val="0"/>
                <w:numId w:val="9"/>
              </w:numPr>
              <w:overflowPunct w:val="0"/>
              <w:autoSpaceDE w:val="0"/>
              <w:autoSpaceDN w:val="0"/>
              <w:jc w:val="both"/>
              <w:textDirection w:val="lrTbV"/>
              <w:textAlignment w:val="center"/>
              <w:rPr>
                <w:rFonts w:ascii="細明體" w:eastAsia="細明體" w:hint="eastAsia"/>
                <w:sz w:val="28"/>
              </w:rPr>
            </w:pPr>
            <w:r>
              <w:rPr>
                <w:rFonts w:ascii="細明體" w:eastAsia="細明體" w:hint="eastAsia"/>
                <w:sz w:val="28"/>
              </w:rPr>
              <w:t>工科</w:t>
            </w:r>
            <w:proofErr w:type="gramStart"/>
            <w:r>
              <w:rPr>
                <w:rFonts w:ascii="細明體" w:eastAsia="細明體" w:hint="eastAsia"/>
                <w:sz w:val="28"/>
              </w:rPr>
              <w:t>醫</w:t>
            </w:r>
            <w:proofErr w:type="gramEnd"/>
            <w:r>
              <w:rPr>
                <w:rFonts w:ascii="細明體" w:eastAsia="細明體" w:hint="eastAsia"/>
                <w:sz w:val="28"/>
              </w:rPr>
              <w:t>用電</w:t>
            </w:r>
            <w:r>
              <w:rPr>
                <w:rFonts w:ascii="細明體" w:eastAsia="細明體" w:hint="eastAsia"/>
                <w:sz w:val="28"/>
              </w:rPr>
              <w:t>機係屬本部公告列為電信管制射頻器材應經許可之項目，現行條文有關經營工科</w:t>
            </w:r>
            <w:proofErr w:type="gramStart"/>
            <w:r>
              <w:rPr>
                <w:rFonts w:ascii="細明體" w:eastAsia="細明體" w:hint="eastAsia"/>
                <w:sz w:val="28"/>
              </w:rPr>
              <w:t>醫</w:t>
            </w:r>
            <w:proofErr w:type="gramEnd"/>
            <w:r>
              <w:rPr>
                <w:rFonts w:ascii="細明體" w:eastAsia="細明體" w:hint="eastAsia"/>
                <w:sz w:val="28"/>
              </w:rPr>
              <w:t>用電機輸入或製造業務之廠商申請電信管制射頻器材經營許可執照，已於電信管制射頻器材管理辦法第五條及第六條中規定，</w:t>
            </w:r>
            <w:proofErr w:type="gramStart"/>
            <w:r>
              <w:rPr>
                <w:rFonts w:ascii="細明體" w:eastAsia="細明體" w:hint="eastAsia"/>
                <w:sz w:val="28"/>
              </w:rPr>
              <w:t>爰</w:t>
            </w:r>
            <w:proofErr w:type="gramEnd"/>
            <w:r>
              <w:rPr>
                <w:rFonts w:ascii="細明體" w:eastAsia="細明體" w:hint="eastAsia"/>
                <w:sz w:val="28"/>
              </w:rPr>
              <w:t>予刪除。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89"/>
        </w:trPr>
        <w:tc>
          <w:tcPr>
            <w:tcW w:w="3360" w:type="dxa"/>
          </w:tcPr>
          <w:p w:rsidR="00000000" w:rsidRDefault="000F112B">
            <w:pPr>
              <w:spacing w:line="400" w:lineRule="atLeast"/>
              <w:ind w:right="159"/>
              <w:jc w:val="both"/>
              <w:rPr>
                <w:rFonts w:ascii="細明體" w:eastAsia="細明體" w:hint="eastAsia"/>
                <w:spacing w:val="-2"/>
                <w:sz w:val="28"/>
              </w:rPr>
            </w:pPr>
            <w:r>
              <w:rPr>
                <w:rFonts w:ascii="細明體" w:eastAsia="細明體" w:hint="eastAsia"/>
                <w:sz w:val="28"/>
              </w:rPr>
              <w:t>第八條（刪除）</w:t>
            </w:r>
          </w:p>
        </w:tc>
        <w:tc>
          <w:tcPr>
            <w:tcW w:w="5400" w:type="dxa"/>
          </w:tcPr>
          <w:p w:rsidR="00000000" w:rsidRDefault="000F112B">
            <w:pPr>
              <w:pStyle w:val="10"/>
              <w:tabs>
                <w:tab w:val="left" w:pos="2013"/>
              </w:tabs>
              <w:spacing w:before="0" w:line="360" w:lineRule="atLeast"/>
              <w:ind w:left="567" w:hanging="567"/>
              <w:jc w:val="both"/>
              <w:textDirection w:val="lrTbV"/>
              <w:rPr>
                <w:rFonts w:ascii="細明體" w:eastAsia="細明體"/>
                <w:sz w:val="28"/>
              </w:rPr>
            </w:pPr>
            <w:r>
              <w:rPr>
                <w:rFonts w:ascii="細明體" w:eastAsia="細明體" w:hint="eastAsia"/>
                <w:sz w:val="28"/>
              </w:rPr>
              <w:t>第八條</w:t>
            </w:r>
            <w:r>
              <w:rPr>
                <w:rFonts w:ascii="細明體" w:eastAsia="細明體"/>
                <w:sz w:val="28"/>
              </w:rPr>
              <w:t xml:space="preserve"> </w:t>
            </w:r>
            <w:r>
              <w:rPr>
                <w:rFonts w:ascii="細明體" w:eastAsia="細明體" w:hint="eastAsia"/>
                <w:sz w:val="28"/>
              </w:rPr>
              <w:t xml:space="preserve"> </w:t>
            </w:r>
            <w:r>
              <w:rPr>
                <w:rFonts w:ascii="細明體" w:eastAsia="細明體" w:hint="eastAsia"/>
                <w:sz w:val="28"/>
              </w:rPr>
              <w:t>經營工科</w:t>
            </w:r>
            <w:proofErr w:type="gramStart"/>
            <w:r>
              <w:rPr>
                <w:rFonts w:ascii="細明體" w:eastAsia="細明體" w:hint="eastAsia"/>
                <w:sz w:val="28"/>
              </w:rPr>
              <w:t>醫</w:t>
            </w:r>
            <w:proofErr w:type="gramEnd"/>
            <w:r>
              <w:rPr>
                <w:rFonts w:ascii="細明體" w:eastAsia="細明體" w:hint="eastAsia"/>
                <w:sz w:val="28"/>
              </w:rPr>
              <w:t>用電機販賣、輸出業務之公司、商號，應依法辦妥公司或商業登記及營利事業登記證後，檢具各該證照影本，送請電信總局備查。</w:t>
            </w:r>
          </w:p>
        </w:tc>
        <w:tc>
          <w:tcPr>
            <w:tcW w:w="5520" w:type="dxa"/>
          </w:tcPr>
          <w:p w:rsidR="00000000" w:rsidRDefault="000F112B">
            <w:pPr>
              <w:widowControl/>
              <w:numPr>
                <w:ilvl w:val="0"/>
                <w:numId w:val="11"/>
              </w:numPr>
              <w:overflowPunct w:val="0"/>
              <w:autoSpaceDE w:val="0"/>
              <w:autoSpaceDN w:val="0"/>
              <w:jc w:val="both"/>
              <w:textDirection w:val="lrTbV"/>
              <w:textAlignment w:val="center"/>
              <w:rPr>
                <w:rFonts w:ascii="細明體" w:eastAsia="細明體" w:hint="eastAsia"/>
                <w:sz w:val="28"/>
              </w:rPr>
            </w:pPr>
            <w:r>
              <w:rPr>
                <w:rFonts w:ascii="細明體" w:eastAsia="細明體" w:hint="eastAsia"/>
                <w:sz w:val="28"/>
                <w:u w:val="single"/>
              </w:rPr>
              <w:t>本條刪除</w:t>
            </w:r>
            <w:r>
              <w:rPr>
                <w:rFonts w:ascii="細明體" w:eastAsia="細明體" w:hint="eastAsia"/>
                <w:sz w:val="28"/>
              </w:rPr>
              <w:t>。</w:t>
            </w:r>
          </w:p>
          <w:p w:rsidR="00000000" w:rsidRDefault="000F112B">
            <w:pPr>
              <w:widowControl/>
              <w:numPr>
                <w:ilvl w:val="0"/>
                <w:numId w:val="11"/>
              </w:numPr>
              <w:overflowPunct w:val="0"/>
              <w:autoSpaceDE w:val="0"/>
              <w:autoSpaceDN w:val="0"/>
              <w:jc w:val="both"/>
              <w:textDirection w:val="lrTbV"/>
              <w:textAlignment w:val="center"/>
              <w:rPr>
                <w:rFonts w:ascii="細明體" w:eastAsia="細明體" w:hint="eastAsia"/>
                <w:sz w:val="28"/>
              </w:rPr>
            </w:pPr>
            <w:r>
              <w:rPr>
                <w:rFonts w:ascii="細明體" w:eastAsia="細明體" w:hint="eastAsia"/>
                <w:spacing w:val="10"/>
                <w:sz w:val="28"/>
              </w:rPr>
              <w:t>電信法第四十九條第一項已刪除販賣或輸出須</w:t>
            </w:r>
            <w:r>
              <w:rPr>
                <w:rFonts w:ascii="細明體" w:eastAsia="細明體" w:hint="eastAsia"/>
                <w:sz w:val="28"/>
              </w:rPr>
              <w:t>報請交通部備查之規定，</w:t>
            </w:r>
            <w:proofErr w:type="gramStart"/>
            <w:r>
              <w:rPr>
                <w:rFonts w:ascii="細明體" w:eastAsia="細明體" w:hint="eastAsia"/>
                <w:sz w:val="28"/>
              </w:rPr>
              <w:t>爰</w:t>
            </w:r>
            <w:proofErr w:type="gramEnd"/>
            <w:r>
              <w:rPr>
                <w:rFonts w:ascii="細明體" w:eastAsia="細明體" w:hint="eastAsia"/>
                <w:sz w:val="28"/>
              </w:rPr>
              <w:t>刪除本條規定。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3360" w:type="dxa"/>
          </w:tcPr>
          <w:p w:rsidR="00000000" w:rsidRDefault="000F112B">
            <w:pPr>
              <w:pStyle w:val="10"/>
              <w:tabs>
                <w:tab w:val="left" w:pos="2013"/>
              </w:tabs>
              <w:spacing w:before="0" w:line="360" w:lineRule="atLeast"/>
              <w:ind w:left="964" w:hanging="964"/>
              <w:textDirection w:val="lrTbV"/>
              <w:rPr>
                <w:rFonts w:ascii="細明體" w:eastAsia="細明體"/>
                <w:sz w:val="28"/>
              </w:rPr>
            </w:pPr>
            <w:r>
              <w:rPr>
                <w:rFonts w:ascii="細明體" w:eastAsia="細明體" w:hint="eastAsia"/>
                <w:sz w:val="28"/>
              </w:rPr>
              <w:t>第九條（刪除）</w:t>
            </w:r>
          </w:p>
        </w:tc>
        <w:tc>
          <w:tcPr>
            <w:tcW w:w="5400" w:type="dxa"/>
          </w:tcPr>
          <w:p w:rsidR="00000000" w:rsidRDefault="000F112B">
            <w:pPr>
              <w:widowControl/>
              <w:autoSpaceDE w:val="0"/>
              <w:autoSpaceDN w:val="0"/>
              <w:ind w:left="567" w:hanging="567"/>
              <w:jc w:val="both"/>
              <w:textDirection w:val="lrTbV"/>
              <w:textAlignment w:val="center"/>
              <w:rPr>
                <w:rFonts w:ascii="細明體" w:eastAsia="細明體"/>
                <w:sz w:val="28"/>
              </w:rPr>
            </w:pPr>
            <w:r>
              <w:rPr>
                <w:rFonts w:ascii="細明體" w:eastAsia="細明體" w:hint="eastAsia"/>
                <w:sz w:val="28"/>
              </w:rPr>
              <w:t>第九條</w:t>
            </w:r>
            <w:r>
              <w:rPr>
                <w:rFonts w:ascii="細明體" w:eastAsia="細明體"/>
                <w:sz w:val="28"/>
              </w:rPr>
              <w:t xml:space="preserve"> </w:t>
            </w:r>
            <w:r>
              <w:rPr>
                <w:rFonts w:ascii="細明體" w:eastAsia="細明體" w:hint="eastAsia"/>
                <w:sz w:val="28"/>
              </w:rPr>
              <w:t xml:space="preserve"> </w:t>
            </w:r>
            <w:r>
              <w:rPr>
                <w:rFonts w:ascii="細明體" w:eastAsia="細明體" w:hint="eastAsia"/>
                <w:sz w:val="28"/>
              </w:rPr>
              <w:t>領有電信管制射頻器材經營許可執照之公司、商號</w:t>
            </w:r>
            <w:r>
              <w:rPr>
                <w:rFonts w:ascii="細明體" w:eastAsia="細明體" w:hint="eastAsia"/>
                <w:sz w:val="28"/>
              </w:rPr>
              <w:t>販賣或輸出工科</w:t>
            </w:r>
            <w:proofErr w:type="gramStart"/>
            <w:r>
              <w:rPr>
                <w:rFonts w:ascii="細明體" w:eastAsia="細明體" w:hint="eastAsia"/>
                <w:sz w:val="28"/>
              </w:rPr>
              <w:t>醫</w:t>
            </w:r>
            <w:proofErr w:type="gramEnd"/>
            <w:r>
              <w:rPr>
                <w:rFonts w:ascii="細明體" w:eastAsia="細明體" w:hint="eastAsia"/>
                <w:sz w:val="28"/>
              </w:rPr>
              <w:t>用電機，其器材名稱、廠牌及型號應有詳細記錄，並應於每年一月十五日及七月十五日前，列表由公司、商號自行或其隸屬公會送請電信總局備查。</w:t>
            </w:r>
          </w:p>
        </w:tc>
        <w:tc>
          <w:tcPr>
            <w:tcW w:w="5520" w:type="dxa"/>
          </w:tcPr>
          <w:p w:rsidR="00000000" w:rsidRDefault="000F112B">
            <w:pPr>
              <w:widowControl/>
              <w:numPr>
                <w:ilvl w:val="0"/>
                <w:numId w:val="12"/>
              </w:numPr>
              <w:overflowPunct w:val="0"/>
              <w:autoSpaceDE w:val="0"/>
              <w:autoSpaceDN w:val="0"/>
              <w:jc w:val="both"/>
              <w:textDirection w:val="lrTbV"/>
              <w:textAlignment w:val="center"/>
              <w:rPr>
                <w:rFonts w:ascii="細明體" w:eastAsia="細明體" w:hint="eastAsia"/>
                <w:sz w:val="28"/>
              </w:rPr>
            </w:pPr>
            <w:r>
              <w:rPr>
                <w:rFonts w:ascii="細明體" w:eastAsia="細明體" w:hint="eastAsia"/>
                <w:sz w:val="28"/>
                <w:u w:val="single"/>
              </w:rPr>
              <w:t>本條刪除</w:t>
            </w:r>
            <w:r>
              <w:rPr>
                <w:rFonts w:ascii="細明體" w:eastAsia="細明體" w:hint="eastAsia"/>
                <w:sz w:val="28"/>
              </w:rPr>
              <w:t>。</w:t>
            </w:r>
          </w:p>
          <w:p w:rsidR="00000000" w:rsidRDefault="000F112B">
            <w:pPr>
              <w:widowControl/>
              <w:numPr>
                <w:ilvl w:val="0"/>
                <w:numId w:val="12"/>
              </w:numPr>
              <w:overflowPunct w:val="0"/>
              <w:autoSpaceDE w:val="0"/>
              <w:autoSpaceDN w:val="0"/>
              <w:jc w:val="both"/>
              <w:textDirection w:val="lrTbV"/>
              <w:textAlignment w:val="center"/>
              <w:rPr>
                <w:rFonts w:ascii="細明體" w:eastAsia="細明體" w:hint="eastAsia"/>
                <w:sz w:val="28"/>
              </w:rPr>
            </w:pPr>
            <w:r>
              <w:rPr>
                <w:rFonts w:ascii="細明體" w:eastAsia="細明體" w:hint="eastAsia"/>
                <w:sz w:val="28"/>
              </w:rPr>
              <w:t>現行條文與電信管制射頻器材管理辦法第九條重複規定，</w:t>
            </w:r>
            <w:proofErr w:type="gramStart"/>
            <w:r>
              <w:rPr>
                <w:rFonts w:ascii="細明體" w:eastAsia="細明體" w:hint="eastAsia"/>
                <w:sz w:val="28"/>
              </w:rPr>
              <w:t>爰</w:t>
            </w:r>
            <w:proofErr w:type="gramEnd"/>
            <w:r>
              <w:rPr>
                <w:rFonts w:ascii="細明體" w:eastAsia="細明體" w:hint="eastAsia"/>
                <w:sz w:val="28"/>
              </w:rPr>
              <w:t>刪除之。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3360" w:type="dxa"/>
          </w:tcPr>
          <w:p w:rsidR="00000000" w:rsidRDefault="000F112B">
            <w:pPr>
              <w:pStyle w:val="10"/>
              <w:tabs>
                <w:tab w:val="left" w:pos="2013"/>
              </w:tabs>
              <w:spacing w:before="0" w:line="360" w:lineRule="atLeast"/>
              <w:ind w:left="964" w:hanging="964"/>
              <w:textDirection w:val="lrTbV"/>
              <w:rPr>
                <w:rFonts w:ascii="細明體" w:eastAsia="細明體"/>
                <w:sz w:val="28"/>
              </w:rPr>
            </w:pPr>
            <w:r>
              <w:rPr>
                <w:rFonts w:ascii="細明體" w:eastAsia="細明體" w:hint="eastAsia"/>
                <w:sz w:val="28"/>
              </w:rPr>
              <w:t>第二十條（刪除）</w:t>
            </w:r>
          </w:p>
        </w:tc>
        <w:tc>
          <w:tcPr>
            <w:tcW w:w="5400" w:type="dxa"/>
          </w:tcPr>
          <w:p w:rsidR="00000000" w:rsidRDefault="000F112B">
            <w:pPr>
              <w:pStyle w:val="10"/>
              <w:tabs>
                <w:tab w:val="left" w:pos="2013"/>
              </w:tabs>
              <w:spacing w:before="0" w:line="360" w:lineRule="atLeast"/>
              <w:ind w:left="851" w:hanging="851"/>
              <w:jc w:val="both"/>
              <w:textDirection w:val="lrTbV"/>
              <w:rPr>
                <w:rFonts w:ascii="細明體" w:eastAsia="細明體"/>
                <w:sz w:val="28"/>
              </w:rPr>
            </w:pPr>
            <w:r>
              <w:rPr>
                <w:rFonts w:ascii="細明體" w:eastAsia="細明體" w:hint="eastAsia"/>
                <w:sz w:val="28"/>
              </w:rPr>
              <w:t>第二十條</w:t>
            </w:r>
            <w:r>
              <w:rPr>
                <w:rFonts w:ascii="細明體" w:eastAsia="細明體" w:hint="eastAsia"/>
                <w:sz w:val="28"/>
              </w:rPr>
              <w:t xml:space="preserve">  </w:t>
            </w:r>
            <w:r>
              <w:rPr>
                <w:rFonts w:ascii="細明體" w:eastAsia="細明體" w:hint="eastAsia"/>
                <w:sz w:val="28"/>
              </w:rPr>
              <w:t>電信總局為業務需要，得派員攜帶證明文件至工科</w:t>
            </w:r>
            <w:proofErr w:type="gramStart"/>
            <w:r>
              <w:rPr>
                <w:rFonts w:ascii="細明體" w:eastAsia="細明體" w:hint="eastAsia"/>
                <w:sz w:val="28"/>
              </w:rPr>
              <w:t>醫</w:t>
            </w:r>
            <w:proofErr w:type="gramEnd"/>
            <w:r>
              <w:rPr>
                <w:rFonts w:ascii="細明體" w:eastAsia="細明體" w:hint="eastAsia"/>
                <w:sz w:val="28"/>
              </w:rPr>
              <w:t>用電機裝置處所查驗測試。</w:t>
            </w:r>
          </w:p>
        </w:tc>
        <w:tc>
          <w:tcPr>
            <w:tcW w:w="5520" w:type="dxa"/>
          </w:tcPr>
          <w:p w:rsidR="00000000" w:rsidRDefault="000F112B">
            <w:pPr>
              <w:widowControl/>
              <w:numPr>
                <w:ilvl w:val="0"/>
                <w:numId w:val="13"/>
              </w:numPr>
              <w:overflowPunct w:val="0"/>
              <w:autoSpaceDE w:val="0"/>
              <w:autoSpaceDN w:val="0"/>
              <w:jc w:val="both"/>
              <w:textDirection w:val="lrTbV"/>
              <w:textAlignment w:val="center"/>
              <w:rPr>
                <w:rFonts w:ascii="細明體" w:eastAsia="細明體" w:hint="eastAsia"/>
                <w:sz w:val="28"/>
              </w:rPr>
            </w:pPr>
            <w:r>
              <w:rPr>
                <w:rFonts w:ascii="細明體" w:eastAsia="細明體" w:hint="eastAsia"/>
                <w:sz w:val="28"/>
                <w:u w:val="single"/>
              </w:rPr>
              <w:t>本條刪除</w:t>
            </w:r>
            <w:r>
              <w:rPr>
                <w:rFonts w:ascii="細明體" w:eastAsia="細明體" w:hint="eastAsia"/>
                <w:sz w:val="28"/>
              </w:rPr>
              <w:t>。</w:t>
            </w:r>
          </w:p>
          <w:p w:rsidR="00000000" w:rsidRDefault="000F112B">
            <w:pPr>
              <w:widowControl/>
              <w:numPr>
                <w:ilvl w:val="0"/>
                <w:numId w:val="13"/>
              </w:numPr>
              <w:overflowPunct w:val="0"/>
              <w:autoSpaceDE w:val="0"/>
              <w:autoSpaceDN w:val="0"/>
              <w:jc w:val="both"/>
              <w:textDirection w:val="lrTbV"/>
              <w:textAlignment w:val="center"/>
              <w:rPr>
                <w:rFonts w:ascii="細明體" w:eastAsia="細明體" w:hint="eastAsia"/>
                <w:sz w:val="28"/>
              </w:rPr>
            </w:pPr>
            <w:r>
              <w:rPr>
                <w:rFonts w:ascii="細明體" w:eastAsia="細明體" w:hint="eastAsia"/>
                <w:sz w:val="28"/>
              </w:rPr>
              <w:t>現行條文與電信管制射頻器材管理辦法第二十一條重複規定，</w:t>
            </w:r>
            <w:proofErr w:type="gramStart"/>
            <w:r>
              <w:rPr>
                <w:rFonts w:ascii="細明體" w:eastAsia="細明體" w:hint="eastAsia"/>
                <w:sz w:val="28"/>
              </w:rPr>
              <w:t>爰</w:t>
            </w:r>
            <w:proofErr w:type="gramEnd"/>
            <w:r>
              <w:rPr>
                <w:rFonts w:ascii="細明體" w:eastAsia="細明體" w:hint="eastAsia"/>
                <w:sz w:val="28"/>
              </w:rPr>
              <w:t>刪除之。</w:t>
            </w:r>
          </w:p>
        </w:tc>
      </w:tr>
    </w:tbl>
    <w:p w:rsidR="00000000" w:rsidRDefault="000F112B">
      <w:pPr>
        <w:pStyle w:val="Normal"/>
        <w:tabs>
          <w:tab w:val="left" w:pos="14040"/>
        </w:tabs>
        <w:spacing w:line="360" w:lineRule="auto"/>
        <w:ind w:right="119"/>
        <w:jc w:val="both"/>
        <w:textDirection w:val="lrTbV"/>
        <w:rPr>
          <w:sz w:val="28"/>
        </w:rPr>
      </w:pPr>
    </w:p>
    <w:sectPr w:rsidR="00000000">
      <w:footerReference w:type="even" r:id="rId7"/>
      <w:footerReference w:type="default" r:id="rId8"/>
      <w:pgSz w:w="16840" w:h="11907" w:orient="landscape" w:code="9"/>
      <w:pgMar w:top="1469" w:right="1440" w:bottom="1469" w:left="1440" w:header="851" w:footer="992" w:gutter="0"/>
      <w:pgNumType w:fmt="taiwaneseCountingThousand" w:start="0"/>
      <w:cols w:space="425"/>
      <w:titlePg/>
      <w:docGrid w:type="lines" w:linePitch="36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0F112B" w:rsidP="00937A77">
      <w:r>
        <w:separator/>
      </w:r>
    </w:p>
  </w:endnote>
  <w:endnote w:type="continuationSeparator" w:id="0">
    <w:p w:rsidR="00000000" w:rsidRDefault="000F112B" w:rsidP="00937A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F112B">
    <w:pPr>
      <w:pStyle w:val="a4"/>
      <w:framePr w:w="1440" w:hSpace="720" w:wrap="around" w:vAnchor="text" w:hAnchor="margin" w:xAlign="right" w:y="1"/>
      <w:textDirection w:val="btLr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0000" w:rsidRDefault="000F112B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F112B">
    <w:pPr>
      <w:pStyle w:val="a4"/>
      <w:framePr w:w="1440" w:hSpace="720" w:wrap="around" w:vAnchor="text" w:hAnchor="margin" w:xAlign="right" w:y="1"/>
      <w:textDirection w:val="btLr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rFonts w:hint="eastAsia"/>
        <w:noProof/>
      </w:rPr>
      <w:t>一</w:t>
    </w:r>
    <w:r>
      <w:rPr>
        <w:rStyle w:val="a5"/>
      </w:rPr>
      <w:fldChar w:fldCharType="end"/>
    </w:r>
  </w:p>
  <w:p w:rsidR="00000000" w:rsidRDefault="000F112B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0F112B" w:rsidP="00937A77">
      <w:r>
        <w:separator/>
      </w:r>
    </w:p>
  </w:footnote>
  <w:footnote w:type="continuationSeparator" w:id="0">
    <w:p w:rsidR="00000000" w:rsidRDefault="000F112B" w:rsidP="00937A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5145C"/>
    <w:multiLevelType w:val="singleLevel"/>
    <w:tmpl w:val="D502605E"/>
    <w:lvl w:ilvl="0">
      <w:start w:val="1"/>
      <w:numFmt w:val="taiwaneseCountingThousand"/>
      <w:lvlText w:val="%1、"/>
      <w:lvlJc w:val="left"/>
      <w:pPr>
        <w:tabs>
          <w:tab w:val="num" w:pos="763"/>
        </w:tabs>
        <w:ind w:left="763" w:hanging="525"/>
      </w:pPr>
      <w:rPr>
        <w:rFonts w:hint="eastAsia"/>
        <w:b w:val="0"/>
        <w:i w:val="0"/>
      </w:rPr>
    </w:lvl>
  </w:abstractNum>
  <w:abstractNum w:abstractNumId="1">
    <w:nsid w:val="20174B6C"/>
    <w:multiLevelType w:val="singleLevel"/>
    <w:tmpl w:val="76669BFE"/>
    <w:lvl w:ilvl="0">
      <w:start w:val="1"/>
      <w:numFmt w:val="taiwaneseCountingThousand"/>
      <w:lvlText w:val="%1、"/>
      <w:lvlJc w:val="left"/>
      <w:pPr>
        <w:tabs>
          <w:tab w:val="num" w:pos="593"/>
        </w:tabs>
        <w:ind w:left="593" w:hanging="570"/>
      </w:pPr>
      <w:rPr>
        <w:rFonts w:hint="eastAsia"/>
      </w:rPr>
    </w:lvl>
  </w:abstractNum>
  <w:abstractNum w:abstractNumId="2">
    <w:nsid w:val="207978EE"/>
    <w:multiLevelType w:val="singleLevel"/>
    <w:tmpl w:val="4E463282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3">
    <w:nsid w:val="2DD03573"/>
    <w:multiLevelType w:val="singleLevel"/>
    <w:tmpl w:val="140A4440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4">
    <w:nsid w:val="338D68A5"/>
    <w:multiLevelType w:val="singleLevel"/>
    <w:tmpl w:val="93165370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5">
    <w:nsid w:val="3A0E625B"/>
    <w:multiLevelType w:val="singleLevel"/>
    <w:tmpl w:val="EC0C48AE"/>
    <w:lvl w:ilvl="0">
      <w:start w:val="1"/>
      <w:numFmt w:val="taiwaneseCountingThousand"/>
      <w:lvlText w:val="%1、"/>
      <w:legacy w:legacy="1" w:legacySpace="0" w:legacyIndent="555"/>
      <w:lvlJc w:val="left"/>
      <w:pPr>
        <w:ind w:left="555" w:hanging="555"/>
      </w:pPr>
      <w:rPr>
        <w:rFonts w:ascii="雅真中楷" w:eastAsia="雅真中楷" w:hint="eastAsia"/>
        <w:b w:val="0"/>
        <w:i w:val="0"/>
        <w:sz w:val="28"/>
        <w:u w:val="none"/>
      </w:rPr>
    </w:lvl>
  </w:abstractNum>
  <w:abstractNum w:abstractNumId="6">
    <w:nsid w:val="401C3EBF"/>
    <w:multiLevelType w:val="singleLevel"/>
    <w:tmpl w:val="A434F28A"/>
    <w:lvl w:ilvl="0">
      <w:start w:val="1"/>
      <w:numFmt w:val="taiwaneseCountingThousand"/>
      <w:lvlText w:val="%1、"/>
      <w:lvlJc w:val="center"/>
      <w:pPr>
        <w:tabs>
          <w:tab w:val="num" w:pos="907"/>
        </w:tabs>
        <w:ind w:left="907" w:hanging="453"/>
      </w:pPr>
      <w:rPr>
        <w:rFonts w:hint="eastAsia"/>
      </w:rPr>
    </w:lvl>
  </w:abstractNum>
  <w:abstractNum w:abstractNumId="7">
    <w:nsid w:val="44246899"/>
    <w:multiLevelType w:val="singleLevel"/>
    <w:tmpl w:val="7396BB0E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ascii="標楷體" w:eastAsia="標楷體" w:hint="eastAsia"/>
        <w:sz w:val="28"/>
      </w:rPr>
    </w:lvl>
  </w:abstractNum>
  <w:abstractNum w:abstractNumId="8">
    <w:nsid w:val="4F6A5D07"/>
    <w:multiLevelType w:val="singleLevel"/>
    <w:tmpl w:val="4E463282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9">
    <w:nsid w:val="64CC31B9"/>
    <w:multiLevelType w:val="singleLevel"/>
    <w:tmpl w:val="140A4440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0">
    <w:nsid w:val="72CA72B7"/>
    <w:multiLevelType w:val="singleLevel"/>
    <w:tmpl w:val="26E226DA"/>
    <w:lvl w:ilvl="0">
      <w:start w:val="1"/>
      <w:numFmt w:val="taiwaneseCountingThousand"/>
      <w:lvlText w:val="%1、"/>
      <w:lvlJc w:val="left"/>
      <w:pPr>
        <w:tabs>
          <w:tab w:val="num" w:pos="763"/>
        </w:tabs>
        <w:ind w:left="763" w:hanging="525"/>
      </w:pPr>
      <w:rPr>
        <w:rFonts w:hint="eastAsia"/>
        <w:b w:val="0"/>
        <w:i w:val="0"/>
      </w:rPr>
    </w:lvl>
  </w:abstractNum>
  <w:abstractNum w:abstractNumId="11">
    <w:nsid w:val="76171BDD"/>
    <w:multiLevelType w:val="singleLevel"/>
    <w:tmpl w:val="4E463282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12">
    <w:nsid w:val="785D5305"/>
    <w:multiLevelType w:val="singleLevel"/>
    <w:tmpl w:val="E4761184"/>
    <w:lvl w:ilvl="0">
      <w:start w:val="3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0"/>
  </w:num>
  <w:num w:numId="5">
    <w:abstractNumId w:val="9"/>
  </w:num>
  <w:num w:numId="6">
    <w:abstractNumId w:val="1"/>
  </w:num>
  <w:num w:numId="7">
    <w:abstractNumId w:val="5"/>
    <w:lvlOverride w:ilvl="0">
      <w:lvl w:ilvl="0">
        <w:start w:val="5"/>
        <w:numFmt w:val="taiwaneseCountingThousand"/>
        <w:lvlText w:val="%1、"/>
        <w:legacy w:legacy="1" w:legacySpace="0" w:legacyIndent="495"/>
        <w:lvlJc w:val="left"/>
        <w:pPr>
          <w:ind w:left="495" w:hanging="495"/>
        </w:pPr>
        <w:rPr>
          <w:rFonts w:ascii="雅真中楷" w:eastAsia="雅真中楷" w:hint="eastAsia"/>
          <w:b w:val="0"/>
          <w:i w:val="0"/>
          <w:sz w:val="28"/>
          <w:u w:val="none"/>
        </w:rPr>
      </w:lvl>
    </w:lvlOverride>
  </w:num>
  <w:num w:numId="8">
    <w:abstractNumId w:val="4"/>
  </w:num>
  <w:num w:numId="9">
    <w:abstractNumId w:val="7"/>
  </w:num>
  <w:num w:numId="10">
    <w:abstractNumId w:val="12"/>
  </w:num>
  <w:num w:numId="11">
    <w:abstractNumId w:val="11"/>
  </w:num>
  <w:num w:numId="12">
    <w:abstractNumId w:val="8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480"/>
  <w:drawingGridHorizontalSpacing w:val="120"/>
  <w:drawingGridVerticalSpacing w:val="36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0F112B"/>
    <w:rsid w:val="000F1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內文1"/>
    <w:basedOn w:val="a"/>
    <w:pPr>
      <w:adjustRightInd w:val="0"/>
      <w:spacing w:line="342" w:lineRule="exact"/>
      <w:ind w:left="227" w:hanging="227"/>
      <w:textAlignment w:val="baseline"/>
    </w:pPr>
    <w:rPr>
      <w:rFonts w:ascii="細明體" w:eastAsia="細明體"/>
      <w:kern w:val="0"/>
    </w:rPr>
  </w:style>
  <w:style w:type="paragraph" w:customStyle="1" w:styleId="Normal">
    <w:name w:val="Normal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paragraph" w:styleId="a3">
    <w:name w:val="Block Text"/>
    <w:basedOn w:val="a"/>
    <w:semiHidden/>
    <w:pPr>
      <w:spacing w:line="400" w:lineRule="atLeast"/>
      <w:ind w:left="692" w:right="159" w:hanging="480"/>
      <w:jc w:val="both"/>
    </w:pPr>
    <w:rPr>
      <w:rFonts w:ascii="標楷體" w:eastAsia="標楷體"/>
    </w:rPr>
  </w:style>
  <w:style w:type="paragraph" w:customStyle="1" w:styleId="10">
    <w:name w:val="樣式1"/>
    <w:basedOn w:val="a"/>
    <w:pPr>
      <w:widowControl/>
      <w:kinsoku w:val="0"/>
      <w:autoSpaceDE w:val="0"/>
      <w:autoSpaceDN w:val="0"/>
      <w:adjustRightInd w:val="0"/>
      <w:spacing w:before="240"/>
      <w:ind w:left="1191" w:hanging="1191"/>
      <w:textAlignment w:val="center"/>
    </w:pPr>
    <w:rPr>
      <w:rFonts w:ascii="華康中楷體" w:eastAsia="華康中楷體"/>
      <w:kern w:val="0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semiHidden/>
  </w:style>
  <w:style w:type="paragraph" w:styleId="a6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footer" Target="footer1.xml"/>
  <Relationship Id="rId8" Type="http://schemas.openxmlformats.org/officeDocument/2006/relationships/footer" Target="footer2.xml"/>
  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610</Characters>
  <Application>Microsoft Office Word</Application>
  <DocSecurity>4</DocSecurity>
  <Lines>5</Lines>
  <Paragraphs>1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>        電信管制射頻器材管理辦法修正總說明</vt:lpstr>
    </vt:vector>
  </TitlesOfParts>
  <Company>交通部電信總局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2014-12-01T05:07:00Z</dcterms:created>
  <dc:creator>沈進泉</dc:creator>
  <lastModifiedBy>syyen</lastModifiedBy>
  <lastPrinted>2002-11-29T10:10:00Z</lastPrinted>
  <dcterms:modified xsi:type="dcterms:W3CDTF">2014-12-01T05:07:00Z</dcterms:modified>
  <revision>2</revision>
  <dc:title>工業科學醫療用電波輻射性電機管理辦法部分條文修正對照表</dc:title>
</coreProperties>
</file>