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A5" w:rsidRPr="00F52619" w:rsidRDefault="00526FA5" w:rsidP="00526FA5">
      <w:pPr>
        <w:pStyle w:val="1"/>
        <w:numPr>
          <w:ilvl w:val="0"/>
          <w:numId w:val="0"/>
        </w:numPr>
        <w:spacing w:after="180"/>
        <w:rPr>
          <w:rFonts w:hint="eastAsia"/>
        </w:rPr>
      </w:pPr>
      <w:bookmarkStart w:id="0" w:name="_Toc299754697"/>
      <w:proofErr w:type="spellStart"/>
      <w:r w:rsidRPr="00F52619">
        <w:rPr>
          <w:rFonts w:hint="eastAsia"/>
        </w:rPr>
        <w:t>附</w:t>
      </w:r>
      <w:r>
        <w:rPr>
          <w:rFonts w:hint="eastAsia"/>
          <w:lang w:eastAsia="zh-TW"/>
        </w:rPr>
        <w:t>件</w:t>
      </w:r>
      <w:bookmarkEnd w:id="0"/>
      <w:proofErr w:type="spellEnd"/>
    </w:p>
    <w:p w:rsidR="00526FA5" w:rsidRPr="00F52619" w:rsidRDefault="00526FA5" w:rsidP="00526FA5">
      <w:pPr>
        <w:pStyle w:val="05"/>
        <w:ind w:hanging="142"/>
        <w:rPr>
          <w:rFonts w:hint="eastAsia"/>
        </w:rPr>
      </w:pPr>
      <w:bookmarkStart w:id="1" w:name="_Ref294599127"/>
      <w:bookmarkStart w:id="2" w:name="_Ref294599137"/>
      <w:bookmarkStart w:id="3" w:name="_Ref294599986"/>
      <w:bookmarkStart w:id="4" w:name="_Ref294599995"/>
      <w:bookmarkStart w:id="5" w:name="_Ref294600167"/>
      <w:bookmarkStart w:id="6" w:name="_Toc299752938"/>
      <w:r w:rsidRPr="00F52619">
        <w:rPr>
          <w:rFonts w:hint="eastAsia"/>
        </w:rPr>
        <w:t>安全功能介面表</w:t>
      </w:r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69"/>
        <w:gridCol w:w="1620"/>
        <w:gridCol w:w="1440"/>
        <w:gridCol w:w="2558"/>
        <w:gridCol w:w="3742"/>
        <w:gridCol w:w="2700"/>
      </w:tblGrid>
      <w:tr w:rsidR="00526FA5" w:rsidRPr="00F52619" w:rsidTr="008205D2">
        <w:trPr>
          <w:trHeight w:val="1226"/>
          <w:tblHeader/>
        </w:trPr>
        <w:tc>
          <w:tcPr>
            <w:tcW w:w="1359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功能介面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TSFI</w:t>
            </w:r>
          </w:p>
        </w:tc>
        <w:tc>
          <w:tcPr>
            <w:tcW w:w="1269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目的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Purpose</w:t>
            </w:r>
          </w:p>
        </w:tc>
        <w:tc>
          <w:tcPr>
            <w:tcW w:w="1620" w:type="dxa"/>
            <w:shd w:val="clear" w:color="auto" w:fill="FFFF99"/>
          </w:tcPr>
          <w:p w:rsidR="00526FA5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可執行的安全功能需求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SFR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操作方式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Method of Use</w:t>
            </w:r>
          </w:p>
        </w:tc>
        <w:tc>
          <w:tcPr>
            <w:tcW w:w="2558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參數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Parameter</w:t>
            </w:r>
          </w:p>
        </w:tc>
        <w:tc>
          <w:tcPr>
            <w:tcW w:w="3742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執行動作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Actions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錯誤訊息</w:t>
            </w:r>
          </w:p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Error Message</w:t>
            </w:r>
          </w:p>
        </w:tc>
      </w:tr>
      <w:tr w:rsidR="00526FA5" w:rsidRPr="00F52619" w:rsidTr="008205D2">
        <w:tc>
          <w:tcPr>
            <w:tcW w:w="1359" w:type="dxa"/>
            <w:vAlign w:val="center"/>
          </w:tcPr>
          <w:p w:rsidR="00526FA5" w:rsidRPr="00F52619" w:rsidRDefault="00526FA5" w:rsidP="008205D2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269" w:type="dxa"/>
            <w:vAlign w:val="center"/>
          </w:tcPr>
          <w:p w:rsidR="00526FA5" w:rsidRPr="00F52619" w:rsidRDefault="00526FA5" w:rsidP="008205D2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</w:tcPr>
          <w:p w:rsidR="00526FA5" w:rsidRPr="00F52619" w:rsidRDefault="00526FA5" w:rsidP="008205D2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526FA5" w:rsidRPr="00F52619" w:rsidRDefault="00526FA5" w:rsidP="008205D2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558" w:type="dxa"/>
          </w:tcPr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42" w:type="dxa"/>
          </w:tcPr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的預期動作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proofErr w:type="spellStart"/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00" w:type="dxa"/>
          </w:tcPr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526FA5" w:rsidRPr="00F52619" w:rsidRDefault="00526FA5" w:rsidP="00526FA5">
      <w:pPr>
        <w:pStyle w:val="1"/>
        <w:numPr>
          <w:ilvl w:val="0"/>
          <w:numId w:val="0"/>
        </w:numPr>
        <w:spacing w:after="180"/>
        <w:rPr>
          <w:rFonts w:hint="eastAsia"/>
          <w:lang w:eastAsia="zh-TW"/>
        </w:rPr>
      </w:pPr>
    </w:p>
    <w:p w:rsidR="00526FA5" w:rsidRPr="00F52619" w:rsidRDefault="00526FA5" w:rsidP="00526FA5">
      <w:pPr>
        <w:rPr>
          <w:lang/>
        </w:rPr>
      </w:pPr>
    </w:p>
    <w:p w:rsidR="00526FA5" w:rsidRPr="00F52619" w:rsidRDefault="00526FA5" w:rsidP="00526FA5">
      <w:pPr>
        <w:rPr>
          <w:rFonts w:hint="eastAsia"/>
        </w:rPr>
      </w:pPr>
    </w:p>
    <w:p w:rsidR="00526FA5" w:rsidRPr="00F52619" w:rsidRDefault="00526FA5" w:rsidP="00526FA5">
      <w:pPr>
        <w:pStyle w:val="05"/>
        <w:ind w:firstLine="0"/>
        <w:rPr>
          <w:rFonts w:hint="eastAsia"/>
        </w:rPr>
      </w:pPr>
      <w:bookmarkStart w:id="7" w:name="_Ref292969536"/>
      <w:bookmarkStart w:id="8" w:name="_Ref294600188"/>
      <w:bookmarkStart w:id="9" w:name="_Toc299752939"/>
      <w:r w:rsidRPr="00F52619">
        <w:rPr>
          <w:rFonts w:hint="eastAsia"/>
        </w:rPr>
        <w:lastRenderedPageBreak/>
        <w:t>子系統描述與分類</w:t>
      </w:r>
      <w:bookmarkEnd w:id="7"/>
      <w:r w:rsidRPr="00F52619">
        <w:rPr>
          <w:rFonts w:hint="eastAsia"/>
        </w:rPr>
        <w:t>表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6"/>
        <w:gridCol w:w="1101"/>
        <w:gridCol w:w="1115"/>
        <w:gridCol w:w="8929"/>
      </w:tblGrid>
      <w:tr w:rsidR="00526FA5" w:rsidRPr="00F52619" w:rsidTr="008205D2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4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子系統與</w:t>
            </w:r>
            <w:proofErr w:type="spellStart"/>
            <w:r w:rsidRPr="00F52619">
              <w:rPr>
                <w:rFonts w:hint="eastAsia"/>
                <w:b/>
                <w:bCs/>
                <w:lang w:eastAsia="zh-TW"/>
              </w:rPr>
              <w:t>SFR</w:t>
            </w:r>
            <w:r w:rsidRPr="00F52619">
              <w:rPr>
                <w:rFonts w:hint="eastAsia"/>
                <w:b/>
                <w:bCs/>
                <w:lang w:eastAsia="zh-TW"/>
              </w:rPr>
              <w:t>之對應</w:t>
            </w:r>
            <w:proofErr w:type="spellEnd"/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行為描述</w:t>
            </w:r>
          </w:p>
        </w:tc>
      </w:tr>
      <w:tr w:rsidR="00526FA5" w:rsidRPr="00F52619" w:rsidTr="008205D2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25" w:left="7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gridSpan w:val="2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526FA5" w:rsidRPr="00F52619" w:rsidRDefault="00526FA5" w:rsidP="008205D2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</w:tr>
      <w:tr w:rsidR="00526FA5" w:rsidRPr="00F52619" w:rsidTr="008205D2">
        <w:tc>
          <w:tcPr>
            <w:tcW w:w="2448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需提供子系統行為資料如次：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1.TSFI(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須與</w:t>
            </w:r>
            <w:proofErr w:type="spellEnd"/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begin"/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instrText xml:space="preserve"> </w:instrTex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instrText>REF _Ref292124813 \w</w:instrTex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instrText xml:space="preserve">  \* MERGEFORMAT </w:instrTex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separate"/>
            </w:r>
            <w:r>
              <w:rPr>
                <w:i/>
                <w:iCs/>
                <w:sz w:val="24"/>
                <w:szCs w:val="24"/>
                <w:lang w:eastAsia="zh-TW"/>
              </w:rPr>
              <w:t>6.2.2.1</w: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end"/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描述與其他子系統之互動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如為非涉，需敍明與安全功能無關之理由</w:t>
            </w:r>
          </w:p>
        </w:tc>
      </w:tr>
      <w:tr w:rsidR="00526FA5" w:rsidRPr="00F52619" w:rsidTr="008205D2">
        <w:tc>
          <w:tcPr>
            <w:tcW w:w="2448" w:type="dxa"/>
            <w:shd w:val="clear" w:color="auto" w:fill="E6E6E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範例：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shd w:val="clear" w:color="auto" w:fill="E6E6E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5.可選取之稽核審查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30" w:left="983" w:hangingChars="321" w:hanging="899"/>
              <w:rPr>
                <w:rFonts w:hint="eastAsia"/>
                <w:lang w:eastAsia="zh-TW"/>
              </w:rPr>
            </w:pPr>
            <w:r w:rsidRPr="00F52619">
              <w:rPr>
                <w:lang w:eastAsia="zh-TW"/>
              </w:rPr>
              <w:t>1.TSFI:</w:t>
            </w:r>
            <w:r w:rsidRPr="00F52619">
              <w:rPr>
                <w:rFonts w:hint="eastAsia"/>
                <w:lang w:eastAsia="zh-TW"/>
              </w:rPr>
              <w:t xml:space="preserve"> </w:t>
            </w:r>
            <w:proofErr w:type="spellStart"/>
            <w:r w:rsidRPr="00F52619">
              <w:rPr>
                <w:rFonts w:hint="eastAsia"/>
                <w:lang w:eastAsia="zh-TW"/>
              </w:rPr>
              <w:t>TSFI_WebGUI</w:t>
            </w:r>
            <w:proofErr w:type="spellEnd"/>
            <w:r w:rsidRPr="00F52619">
              <w:rPr>
                <w:rFonts w:hint="eastAsia"/>
                <w:lang w:eastAsia="zh-TW"/>
              </w:rPr>
              <w:t>, TSFI_CLI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30" w:left="504" w:hangingChars="150" w:hanging="42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與其他子系統之互動：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30" w:left="801" w:hangingChars="256" w:hanging="717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 xml:space="preserve"> (1)</w:t>
            </w:r>
            <w:proofErr w:type="spellStart"/>
            <w:r w:rsidRPr="00F52619">
              <w:rPr>
                <w:rFonts w:hint="eastAsia"/>
                <w:lang w:eastAsia="zh-TW"/>
              </w:rPr>
              <w:t>向記憶體管理子系統要求一個記憶體區塊</w:t>
            </w:r>
            <w:proofErr w:type="spellEnd"/>
          </w:p>
          <w:p w:rsidR="00526FA5" w:rsidRPr="00F52619" w:rsidRDefault="00526FA5" w:rsidP="008205D2">
            <w:pPr>
              <w:pStyle w:val="15alta"/>
              <w:spacing w:afterLines="0"/>
              <w:ind w:leftChars="94" w:left="801" w:hangingChars="192" w:hanging="538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(2)</w:t>
            </w:r>
            <w:proofErr w:type="spellStart"/>
            <w:r w:rsidRPr="00F52619">
              <w:rPr>
                <w:rFonts w:hint="eastAsia"/>
                <w:lang w:eastAsia="zh-TW"/>
              </w:rPr>
              <w:t>記憶體管理子系統回應所分配之記憶體起始位址</w:t>
            </w:r>
            <w:proofErr w:type="spellEnd"/>
          </w:p>
        </w:tc>
      </w:tr>
      <w:tr w:rsidR="00526FA5" w:rsidRPr="00F52619" w:rsidTr="008205D2">
        <w:tc>
          <w:tcPr>
            <w:tcW w:w="2448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448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</w:tbl>
    <w:p w:rsidR="00526FA5" w:rsidRDefault="00526FA5" w:rsidP="00526FA5">
      <w:pPr>
        <w:pStyle w:val="05"/>
        <w:numPr>
          <w:ilvl w:val="0"/>
          <w:numId w:val="0"/>
        </w:numPr>
        <w:rPr>
          <w:rFonts w:hint="eastAsia"/>
        </w:rPr>
      </w:pPr>
    </w:p>
    <w:p w:rsidR="00526FA5" w:rsidRDefault="00526FA5" w:rsidP="00526FA5">
      <w:pPr>
        <w:pStyle w:val="05"/>
        <w:numPr>
          <w:ilvl w:val="0"/>
          <w:numId w:val="0"/>
        </w:numPr>
      </w:pPr>
    </w:p>
    <w:p w:rsidR="00526FA5" w:rsidRPr="00F52619" w:rsidRDefault="00526FA5" w:rsidP="00526FA5">
      <w:pPr>
        <w:pStyle w:val="05"/>
        <w:ind w:firstLine="0"/>
        <w:rPr>
          <w:rFonts w:hint="eastAsia"/>
        </w:rPr>
      </w:pPr>
      <w:r>
        <w:br w:type="page"/>
      </w:r>
      <w:bookmarkStart w:id="10" w:name="_Ref292969556"/>
      <w:bookmarkStart w:id="11" w:name="_Toc299752940"/>
      <w:r w:rsidRPr="00F52619">
        <w:rPr>
          <w:rFonts w:hint="eastAsia"/>
        </w:rPr>
        <w:lastRenderedPageBreak/>
        <w:t>安全架構描述表</w:t>
      </w:r>
      <w:bookmarkEnd w:id="10"/>
      <w:bookmarkEnd w:id="1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124"/>
        <w:gridCol w:w="2582"/>
        <w:gridCol w:w="7655"/>
      </w:tblGrid>
      <w:tr w:rsidR="00526FA5" w:rsidRPr="00F52619" w:rsidTr="008205D2">
        <w:trPr>
          <w:tblHeader/>
        </w:trPr>
        <w:tc>
          <w:tcPr>
            <w:tcW w:w="2348" w:type="dxa"/>
            <w:shd w:val="clear" w:color="auto" w:fill="C4BC9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12361" w:type="dxa"/>
            <w:gridSpan w:val="3"/>
            <w:shd w:val="clear" w:color="auto" w:fill="C4BC96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描述</w:t>
            </w:r>
          </w:p>
        </w:tc>
      </w:tr>
      <w:tr w:rsidR="00526FA5" w:rsidRPr="00F52619" w:rsidTr="008205D2">
        <w:tc>
          <w:tcPr>
            <w:tcW w:w="2348" w:type="dxa"/>
            <w:vMerge w:val="restart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安全</w:t>
            </w:r>
            <w:r w:rsidRPr="00F52619">
              <w:rPr>
                <w:rFonts w:hint="eastAsia"/>
                <w:bCs/>
                <w:lang w:val="en-US" w:eastAsia="zh-TW"/>
              </w:rPr>
              <w:t>領域</w:t>
            </w:r>
          </w:p>
          <w:p w:rsidR="00526FA5" w:rsidRPr="00F52619" w:rsidRDefault="00526FA5" w:rsidP="008205D2">
            <w:pPr>
              <w:pStyle w:val="15alta"/>
              <w:spacing w:afterLines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領域說明</w:t>
            </w: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480" w:hangingChars="200" w:hanging="48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4472" w:type="dxa"/>
            <w:gridSpan w:val="2"/>
            <w:shd w:val="clear" w:color="auto" w:fill="auto"/>
            <w:vAlign w:val="center"/>
          </w:tcPr>
          <w:p w:rsidR="00526FA5" w:rsidRPr="00F52619" w:rsidDel="008A1EE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526FA5" w:rsidRPr="00F52619" w:rsidTr="008205D2">
        <w:tc>
          <w:tcPr>
            <w:tcW w:w="4472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安全稽核透過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TSFI_GUI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來執行，該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同一時間只能執行單一功能之資料處理請求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</w:tc>
      </w:tr>
      <w:tr w:rsidR="00526FA5" w:rsidRPr="00F52619" w:rsidTr="008205D2">
        <w:tc>
          <w:tcPr>
            <w:tcW w:w="2348" w:type="dxa"/>
            <w:vMerge w:val="restart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初始程序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36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相關元件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程序說明</w:t>
            </w:r>
          </w:p>
        </w:tc>
      </w:tr>
      <w:tr w:rsidR="00526FA5" w:rsidRPr="00F52619" w:rsidTr="008205D2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300" w:hangingChars="107" w:hanging="30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操作設備的相關元件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/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環境</w:t>
            </w:r>
            <w:proofErr w:type="spellEnd"/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526FA5" w:rsidRPr="00F52619" w:rsidTr="008205D2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lastRenderedPageBreak/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網路連接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1.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Trust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2.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電纜到交換機或路由器中的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DMZ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</w:tc>
      </w:tr>
      <w:tr w:rsidR="00526FA5" w:rsidRPr="00F52619" w:rsidTr="008205D2">
        <w:trPr>
          <w:trHeight w:val="99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自我保護</w:t>
            </w:r>
          </w:p>
          <w:p w:rsidR="00526FA5" w:rsidRPr="00F52619" w:rsidRDefault="00526FA5" w:rsidP="008205D2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與外部設</w:t>
            </w:r>
            <w:r w:rsidRPr="00F52619">
              <w:rPr>
                <w:rFonts w:hint="eastAsia"/>
                <w:b/>
                <w:bCs/>
                <w:iCs/>
                <w:lang w:val="en-US" w:eastAsia="zh-TW"/>
              </w:rPr>
              <w:t>備</w:t>
            </w:r>
            <w:r w:rsidRPr="00F52619">
              <w:rPr>
                <w:rFonts w:hint="eastAsia"/>
                <w:b/>
                <w:bCs/>
                <w:lang w:eastAsia="zh-TW"/>
              </w:rPr>
              <w:t>之介面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保護機制</w:t>
            </w: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1.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通行碼保護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資料傳輸機制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特殊執行方式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4.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特殊設備需求</w:t>
            </w:r>
          </w:p>
        </w:tc>
      </w:tr>
      <w:tr w:rsidR="00526FA5" w:rsidRPr="00F52619" w:rsidTr="008205D2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範例：</w:t>
            </w: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以網路連結外部弱點資料庫、以</w:t>
            </w:r>
            <w:proofErr w:type="spellStart"/>
            <w:r w:rsidRPr="00F52619">
              <w:rPr>
                <w:rFonts w:hint="eastAsia"/>
                <w:lang w:eastAsia="zh-TW"/>
              </w:rPr>
              <w:t>TSFI_WEBGUI</w:t>
            </w:r>
            <w:r w:rsidRPr="00F52619">
              <w:rPr>
                <w:rFonts w:hint="eastAsia"/>
                <w:lang w:eastAsia="zh-TW"/>
              </w:rPr>
              <w:t>介面進行身分認驗證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應輸入通行碼才能進入介面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資料傳輸機制：</w:t>
            </w:r>
            <w:r w:rsidRPr="00F52619">
              <w:rPr>
                <w:rFonts w:hint="eastAsia"/>
                <w:lang w:eastAsia="zh-TW"/>
              </w:rPr>
              <w:t>SSL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特殊執行方式：指紋辨識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特殊設備需求：指紋辨識器</w:t>
            </w:r>
          </w:p>
        </w:tc>
      </w:tr>
      <w:tr w:rsidR="00526FA5" w:rsidRPr="00F52619" w:rsidTr="008205D2">
        <w:tc>
          <w:tcPr>
            <w:tcW w:w="2348" w:type="dxa"/>
            <w:vMerge w:val="restart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防止繞道攻擊</w:t>
            </w:r>
          </w:p>
          <w:p w:rsidR="00526FA5" w:rsidRPr="00F52619" w:rsidRDefault="00526FA5" w:rsidP="008205D2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防護機制</w:t>
            </w:r>
          </w:p>
        </w:tc>
      </w:tr>
      <w:tr w:rsidR="00526FA5" w:rsidRPr="00F52619" w:rsidTr="008205D2">
        <w:trPr>
          <w:trHeight w:val="552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350" w:hangingChars="125" w:hanging="35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566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526FA5" w:rsidRPr="00F52619" w:rsidTr="008205D2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列舉繞道攻擊之手法</w:t>
            </w:r>
          </w:p>
          <w:p w:rsidR="00526FA5" w:rsidRPr="00F52619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526FA5" w:rsidRPr="00E26B7A" w:rsidTr="008205D2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526FA5" w:rsidRPr="00F52619" w:rsidRDefault="00526FA5" w:rsidP="008205D2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範例：身分證驗證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526FA5" w:rsidRPr="00E26B7A" w:rsidRDefault="00526FA5" w:rsidP="008205D2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以實體封鎖方式，防止利用維護介面繞道身分認證程序。</w:t>
            </w:r>
          </w:p>
        </w:tc>
      </w:tr>
    </w:tbl>
    <w:p w:rsidR="00F61E36" w:rsidRPr="00526FA5" w:rsidRDefault="00F61E36">
      <w:pPr>
        <w:rPr>
          <w:lang/>
        </w:rPr>
      </w:pPr>
    </w:p>
    <w:sectPr w:rsidR="00F61E36" w:rsidRPr="00526FA5" w:rsidSect="00A13358">
      <w:footerReference w:type="default" r:id="rId5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55" w:rsidRPr="006E5A62" w:rsidRDefault="00526FA5" w:rsidP="006E5A62">
    <w:pPr>
      <w:pStyle w:val="a3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526FA5">
      <w:rPr>
        <w:noProof/>
        <w:lang w:val="zh-TW"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E08"/>
    <w:multiLevelType w:val="multilevel"/>
    <w:tmpl w:val="12D85E3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85B671B"/>
    <w:multiLevelType w:val="hybridMultilevel"/>
    <w:tmpl w:val="78B431F2"/>
    <w:lvl w:ilvl="0" w:tplc="AAFE7ACA">
      <w:start w:val="1"/>
      <w:numFmt w:val="ideographDigital"/>
      <w:pStyle w:val="05"/>
      <w:lvlText w:val="附件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FA5"/>
    <w:rsid w:val="00526FA5"/>
    <w:rsid w:val="00BD3B02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5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aliases w:val="(ctrl+Num 1)"/>
    <w:basedOn w:val="a"/>
    <w:next w:val="a"/>
    <w:link w:val="10"/>
    <w:qFormat/>
    <w:rsid w:val="00526FA5"/>
    <w:pPr>
      <w:numPr>
        <w:numId w:val="1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">
    <w:name w:val="heading 2"/>
    <w:aliases w:val="(ctrl+Num 2)"/>
    <w:basedOn w:val="a"/>
    <w:next w:val="a"/>
    <w:link w:val="20"/>
    <w:qFormat/>
    <w:rsid w:val="00526FA5"/>
    <w:pPr>
      <w:numPr>
        <w:ilvl w:val="1"/>
        <w:numId w:val="1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">
    <w:name w:val="heading 3"/>
    <w:aliases w:val="(ctrl+Num 3)"/>
    <w:basedOn w:val="a"/>
    <w:next w:val="a"/>
    <w:link w:val="30"/>
    <w:qFormat/>
    <w:rsid w:val="00526FA5"/>
    <w:pPr>
      <w:numPr>
        <w:ilvl w:val="2"/>
        <w:numId w:val="1"/>
      </w:numPr>
      <w:adjustRightInd w:val="0"/>
      <w:snapToGrid w:val="0"/>
      <w:spacing w:beforeLines="50" w:afterLines="50"/>
      <w:jc w:val="left"/>
      <w:outlineLvl w:val="2"/>
    </w:pPr>
    <w:rPr>
      <w:lang/>
    </w:rPr>
  </w:style>
  <w:style w:type="paragraph" w:styleId="4">
    <w:name w:val="heading 4"/>
    <w:aliases w:val="(ctrl+Num 4)"/>
    <w:basedOn w:val="a"/>
    <w:next w:val="a"/>
    <w:link w:val="40"/>
    <w:qFormat/>
    <w:rsid w:val="00526FA5"/>
    <w:pPr>
      <w:numPr>
        <w:ilvl w:val="3"/>
        <w:numId w:val="1"/>
      </w:numPr>
      <w:adjustRightInd w:val="0"/>
      <w:snapToGrid w:val="0"/>
      <w:spacing w:beforeLines="50" w:afterLines="50"/>
      <w:jc w:val="left"/>
      <w:outlineLvl w:val="3"/>
    </w:pPr>
    <w:rPr>
      <w:lang/>
    </w:rPr>
  </w:style>
  <w:style w:type="paragraph" w:styleId="5">
    <w:name w:val="heading 5"/>
    <w:aliases w:val="(ctrl+Num 5)"/>
    <w:basedOn w:val="a"/>
    <w:link w:val="50"/>
    <w:qFormat/>
    <w:rsid w:val="00526FA5"/>
    <w:pPr>
      <w:numPr>
        <w:ilvl w:val="4"/>
        <w:numId w:val="1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(ctrl+Num 1) 字元"/>
    <w:basedOn w:val="a0"/>
    <w:link w:val="1"/>
    <w:rsid w:val="00526FA5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0">
    <w:name w:val="標題 2 字元"/>
    <w:basedOn w:val="a0"/>
    <w:link w:val="2"/>
    <w:rsid w:val="00526FA5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0">
    <w:name w:val="標題 3 字元"/>
    <w:basedOn w:val="a0"/>
    <w:link w:val="3"/>
    <w:rsid w:val="00526FA5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0">
    <w:name w:val="標題 4 字元"/>
    <w:basedOn w:val="a0"/>
    <w:link w:val="4"/>
    <w:rsid w:val="00526FA5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0">
    <w:name w:val="標題 5 字元"/>
    <w:basedOn w:val="a0"/>
    <w:link w:val="5"/>
    <w:rsid w:val="00526FA5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15alta">
    <w:name w:val="內文(標題1～5)(alt+a)"/>
    <w:basedOn w:val="a"/>
    <w:link w:val="15alta0"/>
    <w:rsid w:val="00526FA5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paragraph" w:styleId="a3">
    <w:name w:val="footer"/>
    <w:basedOn w:val="a"/>
    <w:link w:val="a4"/>
    <w:uiPriority w:val="99"/>
    <w:rsid w:val="00526FA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526FA5"/>
    <w:rPr>
      <w:rFonts w:ascii="Times New Roman" w:eastAsia="標楷體" w:hAnsi="Times New Roman" w:cs="Times New Roman"/>
      <w:sz w:val="20"/>
      <w:szCs w:val="20"/>
      <w:lang/>
    </w:rPr>
  </w:style>
  <w:style w:type="character" w:customStyle="1" w:styleId="15alta0">
    <w:name w:val="內文(標題1～5)(alt+a) 字元"/>
    <w:link w:val="15alta"/>
    <w:rsid w:val="00526FA5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05">
    <w:name w:val="樣式 附表 + 套用後:  0.5 列"/>
    <w:basedOn w:val="a"/>
    <w:rsid w:val="00526FA5"/>
    <w:pPr>
      <w:numPr>
        <w:numId w:val="2"/>
      </w:numPr>
      <w:tabs>
        <w:tab w:val="clear" w:pos="480"/>
        <w:tab w:val="num" w:pos="0"/>
      </w:tabs>
      <w:adjustRightInd w:val="0"/>
      <w:snapToGrid w:val="0"/>
      <w:spacing w:before="180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2015-01-08T09:07:00Z</dcterms:created>
  <dc:creator>syyen</dc:creator>
  <lastModifiedBy>syyen</lastModifiedBy>
  <dcterms:modified xsi:type="dcterms:W3CDTF">2015-01-08T09:08:00Z</dcterms:modified>
  <revision>1</revision>
</coreProperties>
</file>