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F7" w:rsidRDefault="0063734C" w:rsidP="0002618F">
      <w:pPr>
        <w:spacing w:line="520" w:lineRule="exact"/>
        <w:ind w:left="180" w:hangingChars="50" w:hanging="180"/>
        <w:jc w:val="center"/>
        <w:rPr>
          <w:rFonts w:eastAsia="標楷體"/>
          <w:b/>
          <w:sz w:val="36"/>
          <w:szCs w:val="36"/>
        </w:rPr>
      </w:pPr>
      <w:r w:rsidRPr="00614072">
        <w:rPr>
          <w:rFonts w:eastAsia="標楷體" w:hint="eastAsia"/>
          <w:b/>
          <w:sz w:val="36"/>
          <w:szCs w:val="36"/>
        </w:rPr>
        <w:t>無線電頻率使用費收費標準第五條之</w:t>
      </w:r>
      <w:proofErr w:type="gramStart"/>
      <w:r w:rsidRPr="00614072">
        <w:rPr>
          <w:rFonts w:eastAsia="標楷體" w:hint="eastAsia"/>
          <w:b/>
          <w:sz w:val="36"/>
          <w:szCs w:val="36"/>
        </w:rPr>
        <w:t>一</w:t>
      </w:r>
      <w:proofErr w:type="gramEnd"/>
      <w:r w:rsidRPr="00614072">
        <w:rPr>
          <w:rFonts w:eastAsia="標楷體" w:hint="eastAsia"/>
          <w:b/>
          <w:sz w:val="36"/>
          <w:szCs w:val="36"/>
        </w:rPr>
        <w:t>及第二條附</w:t>
      </w:r>
    </w:p>
    <w:p w:rsidR="00A475B1" w:rsidRDefault="0063734C" w:rsidP="0002618F">
      <w:pPr>
        <w:spacing w:line="520" w:lineRule="exact"/>
        <w:ind w:left="180" w:hangingChars="50" w:hanging="180"/>
        <w:jc w:val="center"/>
        <w:rPr>
          <w:rFonts w:eastAsia="標楷體"/>
          <w:b/>
          <w:sz w:val="36"/>
          <w:szCs w:val="36"/>
        </w:rPr>
      </w:pPr>
      <w:r w:rsidRPr="00614072">
        <w:rPr>
          <w:rFonts w:eastAsia="標楷體" w:hint="eastAsia"/>
          <w:b/>
          <w:sz w:val="36"/>
          <w:szCs w:val="36"/>
        </w:rPr>
        <w:t>件一、附件三、附錄二、第五條附錄</w:t>
      </w:r>
      <w:proofErr w:type="gramStart"/>
      <w:r w:rsidRPr="00614072">
        <w:rPr>
          <w:rFonts w:eastAsia="標楷體" w:hint="eastAsia"/>
          <w:b/>
          <w:sz w:val="36"/>
          <w:szCs w:val="36"/>
        </w:rPr>
        <w:t>三</w:t>
      </w:r>
      <w:proofErr w:type="gramEnd"/>
      <w:r w:rsidR="00A475B1">
        <w:rPr>
          <w:rFonts w:ascii="標楷體" w:eastAsia="標楷體" w:hAnsi="標楷體" w:hint="eastAsia"/>
          <w:b/>
          <w:sz w:val="36"/>
          <w:szCs w:val="36"/>
        </w:rPr>
        <w:t>修正</w:t>
      </w:r>
      <w:r w:rsidR="00A475B1">
        <w:rPr>
          <w:rFonts w:eastAsia="標楷體" w:hint="eastAsia"/>
          <w:b/>
          <w:sz w:val="36"/>
          <w:szCs w:val="36"/>
        </w:rPr>
        <w:t>條文</w:t>
      </w:r>
    </w:p>
    <w:p w:rsidR="004F61B8" w:rsidRPr="00614072" w:rsidRDefault="004F61B8" w:rsidP="001D247E">
      <w:pPr>
        <w:ind w:left="120" w:hangingChars="50" w:hanging="120"/>
        <w:jc w:val="center"/>
        <w:rPr>
          <w:rFonts w:eastAsia="標楷體"/>
          <w:b/>
        </w:rPr>
      </w:pPr>
    </w:p>
    <w:p w:rsidR="00A475B1" w:rsidRPr="00614072" w:rsidRDefault="00A475B1" w:rsidP="000A33F5">
      <w:pPr>
        <w:spacing w:line="280" w:lineRule="exact"/>
        <w:ind w:left="1320" w:hangingChars="550" w:hanging="1320"/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t>第五條之</w:t>
      </w:r>
      <w:proofErr w:type="gramStart"/>
      <w:r>
        <w:rPr>
          <w:rFonts w:ascii="Arial" w:eastAsia="標楷體" w:hAnsi="標楷體" w:cs="Arial"/>
        </w:rPr>
        <w:t>一</w:t>
      </w:r>
      <w:proofErr w:type="gramEnd"/>
      <w:r>
        <w:rPr>
          <w:rFonts w:ascii="Arial" w:eastAsia="標楷體" w:hAnsi="Arial" w:cs="Arial"/>
        </w:rPr>
        <w:t xml:space="preserve">     </w:t>
      </w:r>
      <w:r>
        <w:rPr>
          <w:rFonts w:ascii="Arial" w:eastAsia="標楷體" w:hAnsi="標楷體" w:cs="Arial" w:hint="eastAsia"/>
        </w:rPr>
        <w:t>規費繳納金額在一定數額（含）以上者，繳納義務人有不能於規定期限內繳納者，除其他法律另有規定者外，得於繳納期限內，依規費法第十六條規定向本會申請分期繳納</w:t>
      </w:r>
      <w:r>
        <w:rPr>
          <w:rFonts w:ascii="Arial" w:eastAsia="標楷體" w:hAnsi="標楷體" w:cs="Arial"/>
        </w:rPr>
        <w:t>。</w:t>
      </w:r>
    </w:p>
    <w:p w:rsidR="00A475B1" w:rsidRPr="00614072" w:rsidRDefault="00A475B1" w:rsidP="000A33F5">
      <w:pPr>
        <w:spacing w:line="280" w:lineRule="exact"/>
        <w:ind w:left="840" w:hangingChars="350" w:hanging="84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         </w:t>
      </w:r>
      <w:r>
        <w:rPr>
          <w:rFonts w:ascii="Arial" w:eastAsia="標楷體" w:hAnsi="標楷體" w:cs="Arial"/>
        </w:rPr>
        <w:t>前項之一定數額如下：</w:t>
      </w:r>
    </w:p>
    <w:p w:rsidR="00A475B1" w:rsidRPr="00614072" w:rsidRDefault="00A475B1" w:rsidP="000A33F5">
      <w:pPr>
        <w:tabs>
          <w:tab w:val="num" w:pos="1440"/>
        </w:tabs>
        <w:spacing w:line="280" w:lineRule="exact"/>
        <w:ind w:leftChars="455" w:left="1332" w:hangingChars="100" w:hanging="240"/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t>一、行動通信業務（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Arial" w:eastAsia="標楷體" w:hAnsi="Arial" w:cs="Arial"/>
          </w:rPr>
          <w:t>2G</w:t>
        </w:r>
      </w:smartTag>
      <w:r>
        <w:rPr>
          <w:rFonts w:ascii="Arial" w:eastAsia="標楷體" w:hAnsi="標楷體" w:cs="Arial"/>
        </w:rPr>
        <w:t>）：新臺幣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標楷體" w:cs="Arial"/>
        </w:rPr>
        <w:t>億元。</w:t>
      </w:r>
    </w:p>
    <w:p w:rsidR="00A475B1" w:rsidRPr="00614072" w:rsidRDefault="00A475B1" w:rsidP="000A33F5">
      <w:pPr>
        <w:tabs>
          <w:tab w:val="num" w:pos="1440"/>
        </w:tabs>
        <w:spacing w:line="280" w:lineRule="exact"/>
        <w:ind w:leftChars="455" w:left="1332" w:hangingChars="100" w:hanging="240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t>二、</w:t>
      </w:r>
      <w:r>
        <w:rPr>
          <w:rFonts w:ascii="Arial" w:eastAsia="標楷體" w:hAnsi="標楷體" w:cs="Arial" w:hint="eastAsia"/>
        </w:rPr>
        <w:t>第三代行動通信業務（</w:t>
      </w:r>
      <w:r>
        <w:rPr>
          <w:rFonts w:ascii="Arial" w:eastAsia="標楷體" w:hAnsi="標楷體" w:cs="Arial"/>
        </w:rPr>
        <w:t>3G</w:t>
      </w:r>
      <w:r>
        <w:rPr>
          <w:rFonts w:ascii="Arial" w:eastAsia="標楷體" w:hAnsi="標楷體" w:cs="Arial" w:hint="eastAsia"/>
        </w:rPr>
        <w:t>）：新臺幣二億元</w:t>
      </w:r>
      <w:r>
        <w:rPr>
          <w:rFonts w:ascii="Arial" w:eastAsia="標楷體" w:hAnsi="標楷體" w:cs="Arial"/>
        </w:rPr>
        <w:t>。</w:t>
      </w:r>
    </w:p>
    <w:p w:rsidR="00A475B1" w:rsidRPr="00614072" w:rsidRDefault="00A475B1" w:rsidP="000A33F5">
      <w:pPr>
        <w:tabs>
          <w:tab w:val="num" w:pos="1440"/>
        </w:tabs>
        <w:spacing w:line="280" w:lineRule="exact"/>
        <w:ind w:leftChars="455" w:left="1332" w:hangingChars="100" w:hanging="24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三、行動寬頻業務（</w:t>
      </w:r>
      <w:r>
        <w:rPr>
          <w:rFonts w:ascii="Arial" w:eastAsia="標楷體" w:hAnsi="標楷體" w:cs="Arial"/>
        </w:rPr>
        <w:t>4G</w:t>
      </w:r>
      <w:r>
        <w:rPr>
          <w:rFonts w:ascii="Arial" w:eastAsia="標楷體" w:hAnsi="標楷體" w:cs="Arial" w:hint="eastAsia"/>
        </w:rPr>
        <w:t>）：新臺幣二億元。</w:t>
      </w:r>
    </w:p>
    <w:p w:rsidR="00A475B1" w:rsidRPr="00614072" w:rsidRDefault="00A475B1" w:rsidP="000A33F5">
      <w:pPr>
        <w:tabs>
          <w:tab w:val="num" w:pos="1440"/>
        </w:tabs>
        <w:spacing w:line="280" w:lineRule="exact"/>
        <w:ind w:leftChars="455" w:left="1332" w:hangingChars="100" w:hanging="24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四</w:t>
      </w:r>
      <w:r>
        <w:rPr>
          <w:rFonts w:ascii="Arial" w:eastAsia="標楷體" w:hAnsi="標楷體" w:cs="Arial"/>
        </w:rPr>
        <w:t>、無線寬頻接取業務（</w:t>
      </w:r>
      <w:r>
        <w:rPr>
          <w:rFonts w:ascii="Arial" w:eastAsia="標楷體" w:hAnsi="Arial" w:cs="Arial"/>
        </w:rPr>
        <w:t>WBA</w:t>
      </w:r>
      <w:r>
        <w:rPr>
          <w:rFonts w:ascii="Arial" w:eastAsia="標楷體" w:hAnsi="標楷體" w:cs="Arial"/>
        </w:rPr>
        <w:t>）：新臺幣</w:t>
      </w:r>
      <w:r>
        <w:rPr>
          <w:rFonts w:ascii="Arial" w:eastAsia="標楷體" w:hAnsi="Arial" w:cs="Arial" w:hint="eastAsia"/>
        </w:rPr>
        <w:t>二千</w:t>
      </w:r>
      <w:r>
        <w:rPr>
          <w:rFonts w:ascii="Arial" w:eastAsia="標楷體" w:hAnsi="標楷體" w:cs="Arial"/>
        </w:rPr>
        <w:t>萬元。</w:t>
      </w:r>
    </w:p>
    <w:p w:rsidR="00A475B1" w:rsidRPr="00614072" w:rsidRDefault="00A475B1" w:rsidP="000A33F5">
      <w:pPr>
        <w:tabs>
          <w:tab w:val="num" w:pos="1440"/>
        </w:tabs>
        <w:spacing w:line="280" w:lineRule="exact"/>
        <w:ind w:leftChars="455" w:left="1212" w:hangingChars="50" w:hanging="12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五</w:t>
      </w:r>
      <w:r>
        <w:rPr>
          <w:rFonts w:ascii="Arial" w:eastAsia="標楷體" w:hAnsi="標楷體" w:cs="Arial"/>
        </w:rPr>
        <w:t>、</w:t>
      </w:r>
      <w:r>
        <w:rPr>
          <w:rFonts w:ascii="Arial" w:eastAsia="標楷體" w:hAnsi="Arial" w:cs="Arial" w:hint="eastAsia"/>
        </w:rPr>
        <w:t>一</w:t>
      </w:r>
      <w:r>
        <w:rPr>
          <w:rFonts w:ascii="標楷體" w:eastAsia="標楷體" w:hAnsi="標楷體" w:cs="Arial" w:hint="eastAsia"/>
        </w:rPr>
        <w:t>九</w:t>
      </w:r>
      <w:r>
        <w:rPr>
          <w:rFonts w:ascii="Arial" w:eastAsia="標楷體" w:hAnsi="Arial" w:cs="Arial" w:hint="eastAsia"/>
        </w:rPr>
        <w:t>○○</w:t>
      </w:r>
      <w:r>
        <w:rPr>
          <w:rFonts w:ascii="Arial" w:eastAsia="標楷體" w:hAnsi="Arial" w:cs="Arial"/>
        </w:rPr>
        <w:t>MHz</w:t>
      </w:r>
      <w:r>
        <w:rPr>
          <w:rFonts w:ascii="Arial" w:eastAsia="標楷體" w:hAnsi="標楷體" w:cs="Arial"/>
        </w:rPr>
        <w:t>低功率無線電話（</w:t>
      </w:r>
      <w:r>
        <w:rPr>
          <w:rFonts w:ascii="Arial" w:eastAsia="標楷體" w:hAnsi="Arial" w:cs="Arial"/>
        </w:rPr>
        <w:t>LT</w:t>
      </w:r>
      <w:r>
        <w:rPr>
          <w:rFonts w:ascii="Arial" w:eastAsia="標楷體" w:hAnsi="標楷體" w:cs="Arial"/>
        </w:rPr>
        <w:t>）：新臺幣</w:t>
      </w:r>
      <w:r>
        <w:rPr>
          <w:rFonts w:ascii="Arial" w:eastAsia="標楷體" w:hAnsi="Arial" w:cs="Arial" w:hint="eastAsia"/>
        </w:rPr>
        <w:t>一千</w:t>
      </w:r>
      <w:r>
        <w:rPr>
          <w:rFonts w:ascii="Arial" w:eastAsia="標楷體" w:hAnsi="標楷體" w:cs="Arial"/>
        </w:rPr>
        <w:t>萬元。</w:t>
      </w:r>
    </w:p>
    <w:p w:rsidR="00A475B1" w:rsidRPr="00614072" w:rsidRDefault="00A475B1" w:rsidP="000A33F5">
      <w:pPr>
        <w:tabs>
          <w:tab w:val="num" w:pos="1440"/>
        </w:tabs>
        <w:spacing w:line="280" w:lineRule="exact"/>
        <w:ind w:firstLineChars="450" w:firstLine="108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六、</w:t>
      </w:r>
      <w:r>
        <w:rPr>
          <w:rFonts w:ascii="Arial" w:eastAsia="標楷體" w:hAnsi="標楷體" w:cs="Arial"/>
        </w:rPr>
        <w:t>其他業務：新臺幣</w:t>
      </w:r>
      <w:proofErr w:type="gramStart"/>
      <w:r>
        <w:rPr>
          <w:rFonts w:ascii="Arial" w:eastAsia="標楷體" w:hAnsi="Arial" w:cs="Arial" w:hint="eastAsia"/>
        </w:rPr>
        <w:t>一</w:t>
      </w:r>
      <w:proofErr w:type="gramEnd"/>
      <w:r>
        <w:rPr>
          <w:rFonts w:ascii="Arial" w:eastAsia="標楷體" w:hAnsi="Arial" w:cs="Arial" w:hint="eastAsia"/>
        </w:rPr>
        <w:t>百</w:t>
      </w:r>
      <w:r>
        <w:rPr>
          <w:rFonts w:ascii="Arial" w:eastAsia="標楷體" w:hAnsi="標楷體" w:cs="Arial"/>
        </w:rPr>
        <w:t>萬元。</w:t>
      </w:r>
    </w:p>
    <w:p w:rsidR="00A475B1" w:rsidRDefault="00A475B1">
      <w:pPr>
        <w:spacing w:line="280" w:lineRule="exact"/>
        <w:ind w:leftChars="459" w:left="1102" w:firstLineChars="200" w:firstLine="400"/>
        <w:rPr>
          <w:rFonts w:ascii="Arial" w:eastAsia="標楷體" w:hAnsi="標楷體" w:cs="Arial"/>
          <w:sz w:val="20"/>
          <w:szCs w:val="20"/>
        </w:rPr>
      </w:pPr>
    </w:p>
    <w:p w:rsidR="0050168A" w:rsidRDefault="0050168A" w:rsidP="0050168A">
      <w:pPr>
        <w:rPr>
          <w:rFonts w:ascii="Arial" w:eastAsia="標楷體" w:hAnsi="標楷體" w:cs="Arial"/>
          <w:sz w:val="20"/>
          <w:szCs w:val="20"/>
        </w:rPr>
      </w:pPr>
    </w:p>
    <w:p w:rsidR="00AF5B28" w:rsidRDefault="00AF5B28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Default="00BC57B1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BC57B1" w:rsidRPr="00AF5B28" w:rsidRDefault="00BC57B1" w:rsidP="00BC57B1">
      <w:pPr>
        <w:snapToGrid w:val="0"/>
        <w:spacing w:before="100" w:after="100" w:line="280" w:lineRule="atLeast"/>
        <w:ind w:firstLineChars="100" w:firstLine="200"/>
        <w:rPr>
          <w:rFonts w:ascii="Arial" w:eastAsia="標楷體" w:hAnsi="Arial" w:cs="Arial"/>
          <w:sz w:val="20"/>
          <w:szCs w:val="20"/>
        </w:rPr>
      </w:pPr>
    </w:p>
    <w:p w:rsidR="00BC57B1" w:rsidRPr="009D573B" w:rsidRDefault="00BC57B1" w:rsidP="00BC57B1">
      <w:pPr>
        <w:spacing w:line="520" w:lineRule="exact"/>
        <w:ind w:left="641" w:hangingChars="200" w:hanging="641"/>
        <w:rPr>
          <w:rFonts w:ascii="Arial" w:eastAsia="標楷體" w:hAnsi="Arial" w:cs="Arial"/>
          <w:b/>
          <w:sz w:val="32"/>
          <w:szCs w:val="32"/>
        </w:rPr>
      </w:pPr>
      <w:r w:rsidRPr="009D573B">
        <w:rPr>
          <w:rFonts w:ascii="Arial" w:eastAsia="標楷體" w:hAnsi="標楷體" w:cs="Arial"/>
          <w:b/>
          <w:sz w:val="32"/>
          <w:szCs w:val="32"/>
        </w:rPr>
        <w:lastRenderedPageBreak/>
        <w:t>附件一</w:t>
      </w:r>
    </w:p>
    <w:p w:rsidR="00BC57B1" w:rsidRDefault="00BC57B1" w:rsidP="00BC57B1">
      <w:pPr>
        <w:spacing w:line="520" w:lineRule="exact"/>
        <w:ind w:firstLineChars="400" w:firstLine="1281"/>
        <w:jc w:val="center"/>
        <w:rPr>
          <w:rFonts w:ascii="Arial" w:eastAsia="標楷體" w:hAnsi="標楷體" w:cs="Arial"/>
          <w:b/>
          <w:sz w:val="32"/>
          <w:szCs w:val="32"/>
        </w:rPr>
      </w:pPr>
      <w:r w:rsidRPr="009D573B">
        <w:rPr>
          <w:rFonts w:ascii="Arial" w:eastAsia="標楷體" w:hAnsi="標楷體" w:cs="Arial"/>
          <w:b/>
          <w:sz w:val="32"/>
          <w:szCs w:val="32"/>
        </w:rPr>
        <w:t>行動通信頻率使用費計算基準表</w:t>
      </w:r>
    </w:p>
    <w:p w:rsidR="00BC57B1" w:rsidRPr="009D573B" w:rsidRDefault="00BC57B1" w:rsidP="00BC57B1">
      <w:pPr>
        <w:spacing w:line="520" w:lineRule="exact"/>
        <w:ind w:firstLineChars="400" w:firstLine="1281"/>
        <w:jc w:val="center"/>
        <w:rPr>
          <w:rFonts w:ascii="Arial" w:eastAsia="標楷體" w:hAnsi="標楷體" w:cs="Arial"/>
          <w:b/>
          <w:sz w:val="32"/>
          <w:szCs w:val="32"/>
        </w:rPr>
      </w:pPr>
    </w:p>
    <w:p w:rsidR="00BC57B1" w:rsidRPr="009A71E9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  <w:r w:rsidRPr="009A71E9">
        <w:rPr>
          <w:rFonts w:ascii="標楷體" w:eastAsia="標楷體" w:hAnsi="標楷體" w:cs="Arial" w:hint="eastAsia"/>
        </w:rPr>
        <w:t>行動通信業務經營者每年應繳頻率使用費（新臺幣）</w:t>
      </w: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  <w:r w:rsidRPr="009A71E9">
        <w:rPr>
          <w:rFonts w:ascii="標楷體" w:eastAsia="標楷體" w:hAnsi="標楷體" w:cs="Arial" w:hint="eastAsia"/>
        </w:rPr>
        <w:t>=每MHz頻率使用費</w:t>
      </w:r>
      <w:r w:rsidRPr="007D4B1D">
        <w:rPr>
          <w:rFonts w:ascii="標楷體" w:eastAsia="標楷體" w:hAnsi="標楷體" w:cs="Arial"/>
        </w:rPr>
        <w:sym w:font="Symbol" w:char="F0B4"/>
      </w:r>
      <w:proofErr w:type="gramStart"/>
      <w:r w:rsidRPr="009A71E9">
        <w:rPr>
          <w:rFonts w:ascii="標楷體" w:eastAsia="標楷體" w:hAnsi="標楷體" w:cs="Arial" w:hint="eastAsia"/>
        </w:rPr>
        <w:t>指配頻寬</w:t>
      </w:r>
      <w:proofErr w:type="gramEnd"/>
      <w:r w:rsidRPr="007D4B1D">
        <w:rPr>
          <w:rFonts w:ascii="標楷體" w:eastAsia="標楷體" w:hAnsi="標楷體" w:cs="Arial"/>
        </w:rPr>
        <w:sym w:font="Symbol" w:char="F0B4"/>
      </w:r>
      <w:r w:rsidRPr="009A71E9">
        <w:rPr>
          <w:rFonts w:ascii="標楷體" w:eastAsia="標楷體" w:hAnsi="標楷體" w:cs="Arial" w:hint="eastAsia"/>
        </w:rPr>
        <w:t>業務別調整係數</w:t>
      </w:r>
      <w:r w:rsidRPr="007D4B1D">
        <w:rPr>
          <w:rFonts w:ascii="標楷體" w:eastAsia="標楷體" w:hAnsi="標楷體" w:cs="Arial"/>
        </w:rPr>
        <w:sym w:font="Symbol" w:char="F0B4"/>
      </w:r>
      <w:r w:rsidRPr="009A71E9">
        <w:rPr>
          <w:rFonts w:ascii="標楷體" w:eastAsia="標楷體" w:hAnsi="標楷體" w:cs="Arial" w:hint="eastAsia"/>
        </w:rPr>
        <w:t>區域係數</w:t>
      </w: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  <w:r w:rsidRPr="009A71E9">
        <w:rPr>
          <w:rFonts w:ascii="標楷體" w:eastAsia="標楷體" w:hAnsi="標楷體" w:cs="Arial" w:hint="eastAsia"/>
        </w:rPr>
        <w:t>各類行動通信業務之相關參數值如下表：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3118"/>
        <w:gridCol w:w="2835"/>
      </w:tblGrid>
      <w:tr w:rsidR="001D02EB" w:rsidRPr="000255FD" w:rsidTr="001D02EB">
        <w:trPr>
          <w:trHeight w:val="1251"/>
        </w:trPr>
        <w:tc>
          <w:tcPr>
            <w:tcW w:w="2580" w:type="dxa"/>
            <w:vAlign w:val="center"/>
          </w:tcPr>
          <w:p w:rsidR="001D02EB" w:rsidRPr="000255FD" w:rsidRDefault="001D02EB" w:rsidP="002B485F">
            <w:pPr>
              <w:ind w:left="100"/>
              <w:jc w:val="center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/>
              </w:rPr>
              <w:t>業務別</w:t>
            </w:r>
          </w:p>
        </w:tc>
        <w:tc>
          <w:tcPr>
            <w:tcW w:w="3118" w:type="dxa"/>
            <w:vAlign w:val="center"/>
          </w:tcPr>
          <w:p w:rsidR="001D02EB" w:rsidRPr="000255FD" w:rsidRDefault="001D02EB" w:rsidP="002B48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55FD">
              <w:rPr>
                <w:rFonts w:ascii="標楷體" w:eastAsia="標楷體" w:hAnsi="標楷體"/>
              </w:rPr>
              <w:t>每MHz頻率使用費</w:t>
            </w:r>
          </w:p>
          <w:p w:rsidR="001D02EB" w:rsidRPr="000255FD" w:rsidRDefault="001D02EB" w:rsidP="002B485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255FD">
              <w:rPr>
                <w:rFonts w:ascii="標楷體" w:eastAsia="標楷體" w:hAnsi="標楷體"/>
              </w:rPr>
              <w:t>（元/</w:t>
            </w:r>
            <w:r w:rsidR="000B5E1C">
              <w:rPr>
                <w:rFonts w:ascii="標楷體" w:eastAsia="標楷體" w:hAnsi="標楷體" w:hint="eastAsia"/>
              </w:rPr>
              <w:t xml:space="preserve"> </w:t>
            </w:r>
            <w:r w:rsidRPr="000255FD">
              <w:rPr>
                <w:rFonts w:ascii="標楷體" w:eastAsia="標楷體" w:hAnsi="標楷體"/>
              </w:rPr>
              <w:t>MHz）</w:t>
            </w:r>
          </w:p>
        </w:tc>
        <w:tc>
          <w:tcPr>
            <w:tcW w:w="2835" w:type="dxa"/>
            <w:vAlign w:val="center"/>
          </w:tcPr>
          <w:p w:rsidR="001D02EB" w:rsidRPr="000255FD" w:rsidRDefault="001D02EB" w:rsidP="002B485F">
            <w:pPr>
              <w:jc w:val="center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 w:hint="eastAsia"/>
              </w:rPr>
              <w:t>業務別</w:t>
            </w:r>
          </w:p>
          <w:p w:rsidR="001D02EB" w:rsidRPr="000255FD" w:rsidRDefault="001D02EB" w:rsidP="002B485F">
            <w:pPr>
              <w:jc w:val="center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 w:hint="eastAsia"/>
              </w:rPr>
              <w:t>調整係數</w:t>
            </w:r>
          </w:p>
        </w:tc>
      </w:tr>
      <w:tr w:rsidR="001D02EB" w:rsidRPr="000255FD" w:rsidTr="001D02EB">
        <w:trPr>
          <w:cantSplit/>
          <w:trHeight w:val="946"/>
        </w:trPr>
        <w:tc>
          <w:tcPr>
            <w:tcW w:w="2580" w:type="dxa"/>
            <w:vAlign w:val="center"/>
          </w:tcPr>
          <w:p w:rsidR="001D02EB" w:rsidRPr="000255FD" w:rsidRDefault="001D02EB" w:rsidP="002B485F">
            <w:pPr>
              <w:ind w:left="100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/>
              </w:rPr>
              <w:t>行動電話</w:t>
            </w:r>
          </w:p>
        </w:tc>
        <w:tc>
          <w:tcPr>
            <w:tcW w:w="3118" w:type="dxa"/>
            <w:vAlign w:val="center"/>
          </w:tcPr>
          <w:p w:rsidR="001D02EB" w:rsidRPr="000255FD" w:rsidRDefault="001D02EB" w:rsidP="002B485F">
            <w:pPr>
              <w:ind w:left="100"/>
              <w:jc w:val="center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/>
              </w:rPr>
              <w:t>10,675,000</w:t>
            </w:r>
          </w:p>
        </w:tc>
        <w:tc>
          <w:tcPr>
            <w:tcW w:w="2835" w:type="dxa"/>
            <w:vAlign w:val="center"/>
          </w:tcPr>
          <w:p w:rsidR="001D02EB" w:rsidRPr="000255FD" w:rsidRDefault="001D02EB" w:rsidP="002B485F">
            <w:pPr>
              <w:ind w:left="100"/>
              <w:jc w:val="center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/>
              </w:rPr>
              <w:t>1</w:t>
            </w:r>
          </w:p>
        </w:tc>
      </w:tr>
      <w:tr w:rsidR="001D02EB" w:rsidRPr="000255FD" w:rsidTr="001D02EB">
        <w:trPr>
          <w:cantSplit/>
          <w:trHeight w:val="1117"/>
        </w:trPr>
        <w:tc>
          <w:tcPr>
            <w:tcW w:w="2580" w:type="dxa"/>
            <w:vAlign w:val="center"/>
          </w:tcPr>
          <w:p w:rsidR="001D02EB" w:rsidRPr="000255FD" w:rsidRDefault="001D02EB" w:rsidP="002B485F">
            <w:pPr>
              <w:ind w:left="100"/>
              <w:rPr>
                <w:rFonts w:ascii="標楷體" w:eastAsia="標楷體" w:hAnsi="標楷體" w:cs="Arial"/>
                <w:u w:val="single"/>
              </w:rPr>
            </w:pPr>
            <w:r w:rsidRPr="000255FD">
              <w:rPr>
                <w:rFonts w:ascii="標楷體" w:eastAsia="標楷體" w:hAnsi="標楷體" w:cs="Arial"/>
              </w:rPr>
              <w:t>第三代行動通信</w:t>
            </w:r>
          </w:p>
        </w:tc>
        <w:tc>
          <w:tcPr>
            <w:tcW w:w="3118" w:type="dxa"/>
            <w:vAlign w:val="center"/>
          </w:tcPr>
          <w:p w:rsidR="001D02EB" w:rsidRPr="000255FD" w:rsidRDefault="001D02EB" w:rsidP="002B485F">
            <w:pPr>
              <w:jc w:val="center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/>
              </w:rPr>
              <w:t>10,675,000</w:t>
            </w:r>
          </w:p>
        </w:tc>
        <w:tc>
          <w:tcPr>
            <w:tcW w:w="2835" w:type="dxa"/>
            <w:vAlign w:val="center"/>
          </w:tcPr>
          <w:p w:rsidR="001D02EB" w:rsidRPr="000255FD" w:rsidRDefault="000B5E1C" w:rsidP="002B485F">
            <w:pPr>
              <w:ind w:left="10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</w:p>
        </w:tc>
      </w:tr>
      <w:tr w:rsidR="001D02EB" w:rsidRPr="000255FD" w:rsidTr="001D02EB">
        <w:trPr>
          <w:cantSplit/>
          <w:trHeight w:val="978"/>
        </w:trPr>
        <w:tc>
          <w:tcPr>
            <w:tcW w:w="2580" w:type="dxa"/>
            <w:vAlign w:val="center"/>
          </w:tcPr>
          <w:p w:rsidR="001D02EB" w:rsidRPr="000255FD" w:rsidRDefault="001D02EB" w:rsidP="002B485F">
            <w:pPr>
              <w:ind w:left="100"/>
              <w:rPr>
                <w:rFonts w:ascii="標楷體" w:eastAsia="標楷體" w:hAnsi="標楷體" w:cs="Arial"/>
                <w:color w:val="000000"/>
              </w:rPr>
            </w:pPr>
            <w:r w:rsidRPr="000255FD">
              <w:rPr>
                <w:rFonts w:ascii="標楷體" w:eastAsia="標楷體" w:hAnsi="標楷體" w:cs="Arial"/>
                <w:color w:val="000000"/>
              </w:rPr>
              <w:t>無線寬頻接取</w:t>
            </w:r>
          </w:p>
        </w:tc>
        <w:tc>
          <w:tcPr>
            <w:tcW w:w="3118" w:type="dxa"/>
            <w:vAlign w:val="center"/>
          </w:tcPr>
          <w:p w:rsidR="001D02EB" w:rsidRPr="000255FD" w:rsidRDefault="001D02EB" w:rsidP="002B485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255FD">
              <w:rPr>
                <w:rFonts w:ascii="標楷體" w:eastAsia="標楷體" w:hAnsi="標楷體" w:cs="Arial"/>
                <w:color w:val="000000"/>
              </w:rPr>
              <w:t>1,476,000</w:t>
            </w:r>
          </w:p>
        </w:tc>
        <w:tc>
          <w:tcPr>
            <w:tcW w:w="2835" w:type="dxa"/>
            <w:vAlign w:val="center"/>
          </w:tcPr>
          <w:p w:rsidR="001D02EB" w:rsidRPr="000255FD" w:rsidRDefault="001D02EB" w:rsidP="002B485F">
            <w:pPr>
              <w:ind w:left="10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255FD">
              <w:rPr>
                <w:rFonts w:ascii="標楷體" w:eastAsia="標楷體" w:hAnsi="標楷體" w:cs="Arial" w:hint="eastAsia"/>
                <w:color w:val="000000"/>
              </w:rPr>
              <w:t>1</w:t>
            </w:r>
          </w:p>
        </w:tc>
      </w:tr>
      <w:tr w:rsidR="001D02EB" w:rsidRPr="000255FD" w:rsidTr="001D02EB">
        <w:trPr>
          <w:cantSplit/>
          <w:trHeight w:val="1090"/>
        </w:trPr>
        <w:tc>
          <w:tcPr>
            <w:tcW w:w="2580" w:type="dxa"/>
            <w:vAlign w:val="center"/>
          </w:tcPr>
          <w:p w:rsidR="001D02EB" w:rsidRPr="000255FD" w:rsidRDefault="001D02EB" w:rsidP="002B485F">
            <w:pPr>
              <w:ind w:left="100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 w:hint="eastAsia"/>
              </w:rPr>
              <w:t>行動寬頻</w:t>
            </w:r>
          </w:p>
        </w:tc>
        <w:tc>
          <w:tcPr>
            <w:tcW w:w="3118" w:type="dxa"/>
            <w:vAlign w:val="center"/>
          </w:tcPr>
          <w:p w:rsidR="001D02EB" w:rsidRPr="000255FD" w:rsidRDefault="001D02EB" w:rsidP="002B485F">
            <w:pPr>
              <w:ind w:left="100"/>
              <w:jc w:val="center"/>
              <w:rPr>
                <w:rFonts w:ascii="標楷體" w:eastAsia="標楷體" w:hAnsi="標楷體" w:cs="Arial"/>
              </w:rPr>
            </w:pPr>
            <w:r w:rsidRPr="000255FD">
              <w:rPr>
                <w:rFonts w:ascii="標楷體" w:eastAsia="標楷體" w:hAnsi="標楷體" w:cs="Arial"/>
              </w:rPr>
              <w:t>10,675,000</w:t>
            </w:r>
          </w:p>
        </w:tc>
        <w:tc>
          <w:tcPr>
            <w:tcW w:w="2835" w:type="dxa"/>
          </w:tcPr>
          <w:p w:rsidR="001D02EB" w:rsidRPr="001D02EB" w:rsidRDefault="0063734C" w:rsidP="002B485F">
            <w:pPr>
              <w:rPr>
                <w:rFonts w:ascii="標楷體" w:eastAsia="標楷體" w:hAnsi="標楷體"/>
                <w:color w:val="000000"/>
              </w:rPr>
            </w:pPr>
            <w:r w:rsidRPr="0063734C">
              <w:rPr>
                <w:rFonts w:ascii="標楷體" w:eastAsia="標楷體" w:hAnsi="標楷體"/>
                <w:color w:val="000000" w:themeColor="text1"/>
              </w:rPr>
              <w:t>1（第一年為0.1，第二年為0.4，第三年為0.7，第四年起恢復為1）</w:t>
            </w:r>
          </w:p>
        </w:tc>
      </w:tr>
      <w:tr w:rsidR="001D02EB" w:rsidRPr="000255FD" w:rsidTr="004E4676">
        <w:trPr>
          <w:cantSplit/>
          <w:trHeight w:val="1090"/>
        </w:trPr>
        <w:tc>
          <w:tcPr>
            <w:tcW w:w="8533" w:type="dxa"/>
            <w:gridSpan w:val="3"/>
            <w:vAlign w:val="center"/>
          </w:tcPr>
          <w:p w:rsidR="001D02EB" w:rsidRPr="001D02EB" w:rsidRDefault="001D02EB" w:rsidP="001D02EB">
            <w:pPr>
              <w:rPr>
                <w:rFonts w:ascii="標楷體" w:eastAsia="標楷體" w:hAnsi="標楷體"/>
                <w:color w:val="000000" w:themeColor="text1"/>
              </w:rPr>
            </w:pPr>
            <w:r w:rsidRPr="001D02EB">
              <w:rPr>
                <w:rFonts w:ascii="標楷體" w:eastAsia="標楷體" w:hAnsi="標楷體" w:hint="eastAsia"/>
                <w:color w:val="000000" w:themeColor="text1"/>
              </w:rPr>
              <w:t xml:space="preserve">備 </w:t>
            </w:r>
            <w:proofErr w:type="gramStart"/>
            <w:r w:rsidRPr="001D02EB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1D02E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D02EB" w:rsidRPr="001D02EB" w:rsidRDefault="001D02EB" w:rsidP="001D02EB">
            <w:pPr>
              <w:rPr>
                <w:rFonts w:ascii="標楷體" w:eastAsia="標楷體" w:hAnsi="標楷體"/>
                <w:color w:val="000000" w:themeColor="text1"/>
              </w:rPr>
            </w:pPr>
            <w:r w:rsidRPr="001D02EB">
              <w:rPr>
                <w:rFonts w:ascii="標楷體" w:eastAsia="標楷體" w:hAnsi="標楷體" w:hint="eastAsia"/>
                <w:color w:val="000000" w:themeColor="text1"/>
              </w:rPr>
              <w:t>1.上下</w:t>
            </w:r>
            <w:proofErr w:type="gramStart"/>
            <w:r w:rsidRPr="001D02EB">
              <w:rPr>
                <w:rFonts w:ascii="標楷體" w:eastAsia="標楷體" w:hAnsi="標楷體" w:hint="eastAsia"/>
                <w:color w:val="000000" w:themeColor="text1"/>
              </w:rPr>
              <w:t>鏈均須計費</w:t>
            </w:r>
            <w:proofErr w:type="gramEnd"/>
          </w:p>
          <w:p w:rsidR="001D02EB" w:rsidRPr="001D02EB" w:rsidRDefault="001D02EB" w:rsidP="001D02EB">
            <w:pPr>
              <w:rPr>
                <w:rFonts w:ascii="標楷體" w:eastAsia="標楷體" w:hAnsi="標楷體"/>
                <w:color w:val="000000" w:themeColor="text1"/>
              </w:rPr>
            </w:pPr>
            <w:r w:rsidRPr="001D02EB">
              <w:rPr>
                <w:rFonts w:ascii="標楷體" w:eastAsia="標楷體" w:hAnsi="標楷體" w:hint="eastAsia"/>
                <w:color w:val="000000" w:themeColor="text1"/>
              </w:rPr>
              <w:t>2.區域係數：詳如附錄</w:t>
            </w:r>
            <w:proofErr w:type="gramStart"/>
            <w:r w:rsidRPr="001D02EB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:rsidR="001D02EB" w:rsidRPr="001D02EB" w:rsidRDefault="001D02EB" w:rsidP="001D02EB">
            <w:pPr>
              <w:rPr>
                <w:rFonts w:ascii="標楷體" w:eastAsia="標楷體" w:hAnsi="標楷體"/>
                <w:color w:val="000000" w:themeColor="text1"/>
              </w:rPr>
            </w:pPr>
            <w:r w:rsidRPr="001D02EB">
              <w:rPr>
                <w:rFonts w:ascii="標楷體" w:eastAsia="標楷體" w:hAnsi="標楷體" w:hint="eastAsia"/>
                <w:color w:val="000000" w:themeColor="text1"/>
              </w:rPr>
              <w:t>3.無線寬頻接取之區域係數按縣市加總計算之。</w:t>
            </w:r>
          </w:p>
          <w:p w:rsidR="001D02EB" w:rsidRPr="001D02EB" w:rsidRDefault="001D02EB" w:rsidP="001D02EB">
            <w:pPr>
              <w:rPr>
                <w:rFonts w:ascii="標楷體" w:eastAsia="標楷體" w:hAnsi="標楷體"/>
                <w:color w:val="000000" w:themeColor="text1"/>
              </w:rPr>
            </w:pPr>
            <w:r w:rsidRPr="001D02EB">
              <w:rPr>
                <w:rFonts w:ascii="標楷體" w:eastAsia="標楷體" w:hAnsi="標楷體" w:hint="eastAsia"/>
                <w:color w:val="000000" w:themeColor="text1"/>
              </w:rPr>
              <w:t>4.無線寬頻接取業務經營者於特許執照有效期間屆滿並換發執照後，依行動寬頻業務頻率使用費計算基準計收頻率使用費。</w:t>
            </w:r>
          </w:p>
          <w:p w:rsidR="001D02EB" w:rsidRPr="001D02EB" w:rsidRDefault="001D02EB" w:rsidP="001D02EB">
            <w:pPr>
              <w:rPr>
                <w:rFonts w:ascii="標楷體" w:eastAsia="標楷體" w:hAnsi="標楷體"/>
                <w:color w:val="000000" w:themeColor="text1"/>
              </w:rPr>
            </w:pPr>
            <w:r w:rsidRPr="001D02EB">
              <w:rPr>
                <w:rFonts w:ascii="標楷體" w:eastAsia="標楷體" w:hAnsi="標楷體" w:hint="eastAsia"/>
                <w:color w:val="000000" w:themeColor="text1"/>
              </w:rPr>
              <w:t>5.依行動寬頻業務管理規則第八十五條第三項規定繳納頻率使用費者，其費率標準應自該經營者繳回頻率之次日起滿一年之</w:t>
            </w:r>
            <w:proofErr w:type="gramStart"/>
            <w:r w:rsidRPr="001D02EB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1D02EB">
              <w:rPr>
                <w:rFonts w:ascii="標楷體" w:eastAsia="標楷體" w:hAnsi="標楷體" w:hint="eastAsia"/>
                <w:color w:val="000000" w:themeColor="text1"/>
              </w:rPr>
              <w:t>適用行動寬頻業務別調整係數第一年係數。</w:t>
            </w:r>
          </w:p>
        </w:tc>
      </w:tr>
    </w:tbl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</w:p>
    <w:p w:rsidR="00BC57B1" w:rsidRDefault="00BC57B1" w:rsidP="00BC57B1">
      <w:pPr>
        <w:spacing w:line="440" w:lineRule="exact"/>
        <w:ind w:left="480" w:hangingChars="200" w:hanging="480"/>
        <w:rPr>
          <w:rFonts w:ascii="標楷體" w:eastAsia="標楷體" w:hAnsi="標楷體" w:cs="Arial"/>
        </w:rPr>
      </w:pPr>
    </w:p>
    <w:p w:rsidR="00A475B1" w:rsidRDefault="001D02EB" w:rsidP="000A33F5">
      <w:pPr>
        <w:spacing w:after="180" w:line="520" w:lineRule="exact"/>
        <w:ind w:left="641" w:hangingChars="200" w:hanging="641"/>
        <w:rPr>
          <w:rFonts w:ascii="Arial" w:eastAsia="標楷體" w:hAnsi="標楷體" w:cs="Arial"/>
          <w:b/>
          <w:sz w:val="32"/>
          <w:szCs w:val="32"/>
        </w:rPr>
      </w:pPr>
      <w:r w:rsidRPr="001610BA">
        <w:rPr>
          <w:rFonts w:ascii="Arial" w:eastAsia="標楷體" w:hAnsi="標楷體" w:cs="Arial"/>
          <w:b/>
          <w:sz w:val="32"/>
          <w:szCs w:val="32"/>
        </w:rPr>
        <w:lastRenderedPageBreak/>
        <w:t>附件</w:t>
      </w:r>
      <w:proofErr w:type="gramStart"/>
      <w:r w:rsidRPr="001610BA">
        <w:rPr>
          <w:rFonts w:ascii="Arial" w:eastAsia="標楷體" w:hAnsi="標楷體" w:cs="Arial"/>
          <w:b/>
          <w:sz w:val="32"/>
          <w:szCs w:val="32"/>
        </w:rPr>
        <w:t>三</w:t>
      </w:r>
      <w:proofErr w:type="gramEnd"/>
    </w:p>
    <w:p w:rsidR="00A475B1" w:rsidRDefault="0063734C" w:rsidP="000A33F5">
      <w:pPr>
        <w:spacing w:after="180" w:line="520" w:lineRule="exact"/>
        <w:ind w:left="641" w:hangingChars="200" w:hanging="641"/>
        <w:jc w:val="center"/>
        <w:rPr>
          <w:rFonts w:ascii="Arial" w:eastAsia="標楷體" w:hAnsi="標楷體" w:cs="Arial"/>
          <w:b/>
          <w:color w:val="000000" w:themeColor="text1"/>
          <w:sz w:val="32"/>
          <w:szCs w:val="32"/>
        </w:rPr>
      </w:pPr>
      <w:r w:rsidRPr="0063734C">
        <w:rPr>
          <w:rFonts w:ascii="Arial" w:eastAsia="標楷體" w:hAnsi="標楷體" w:cs="Arial"/>
          <w:b/>
          <w:color w:val="000000" w:themeColor="text1"/>
          <w:sz w:val="32"/>
          <w:szCs w:val="32"/>
        </w:rPr>
        <w:t>固定通信頻率使用費計算基準表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</w:tblGrid>
      <w:tr w:rsidR="00297229" w:rsidRPr="001610BA" w:rsidTr="00570CB9">
        <w:tc>
          <w:tcPr>
            <w:tcW w:w="4253" w:type="dxa"/>
            <w:tcBorders>
              <w:top w:val="single" w:sz="4" w:space="0" w:color="auto"/>
            </w:tcBorders>
          </w:tcPr>
          <w:p w:rsidR="00A475B1" w:rsidRDefault="0063734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63734C">
              <w:rPr>
                <w:rFonts w:ascii="Arial" w:eastAsia="標楷體" w:hAnsi="標楷體" w:cs="Arial"/>
              </w:rPr>
              <w:t>使</w:t>
            </w:r>
            <w:r w:rsidR="00297229">
              <w:rPr>
                <w:rFonts w:ascii="Arial" w:eastAsia="標楷體" w:hAnsi="標楷體" w:cs="Arial" w:hint="eastAsia"/>
              </w:rPr>
              <w:t xml:space="preserve"> </w:t>
            </w:r>
            <w:r w:rsidRPr="0063734C">
              <w:rPr>
                <w:rFonts w:ascii="Arial" w:eastAsia="標楷體" w:hAnsi="標楷體" w:cs="Arial"/>
              </w:rPr>
              <w:t>用</w:t>
            </w:r>
            <w:r w:rsidR="00297229">
              <w:rPr>
                <w:rFonts w:ascii="Arial" w:eastAsia="標楷體" w:hAnsi="標楷體" w:cs="Arial" w:hint="eastAsia"/>
              </w:rPr>
              <w:t xml:space="preserve"> </w:t>
            </w:r>
            <w:r w:rsidRPr="0063734C">
              <w:rPr>
                <w:rFonts w:ascii="Arial" w:eastAsia="標楷體" w:hAnsi="標楷體" w:cs="Arial"/>
              </w:rPr>
              <w:t>頻</w:t>
            </w:r>
            <w:r w:rsidR="00297229">
              <w:rPr>
                <w:rFonts w:ascii="Arial" w:eastAsia="標楷體" w:hAnsi="標楷體" w:cs="Arial" w:hint="eastAsia"/>
              </w:rPr>
              <w:t xml:space="preserve"> </w:t>
            </w:r>
            <w:r w:rsidRPr="0063734C">
              <w:rPr>
                <w:rFonts w:ascii="Arial" w:eastAsia="標楷體" w:hAnsi="標楷體" w:cs="Arial"/>
              </w:rPr>
              <w:t>率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475B1" w:rsidRDefault="0063734C" w:rsidP="000A33F5">
            <w:pPr>
              <w:spacing w:line="240" w:lineRule="exact"/>
              <w:ind w:firstLineChars="200" w:firstLine="480"/>
              <w:jc w:val="center"/>
              <w:rPr>
                <w:rFonts w:ascii="Arial" w:eastAsia="標楷體" w:hAnsi="Arial" w:cs="Arial"/>
              </w:rPr>
            </w:pPr>
            <w:r w:rsidRPr="0063734C">
              <w:rPr>
                <w:rFonts w:ascii="Arial" w:eastAsia="標楷體" w:hAnsi="標楷體" w:cs="Arial"/>
              </w:rPr>
              <w:t>計</w:t>
            </w:r>
            <w:r w:rsidR="00297229">
              <w:rPr>
                <w:rFonts w:ascii="Arial" w:eastAsia="標楷體" w:hAnsi="標楷體" w:cs="Arial" w:hint="eastAsia"/>
              </w:rPr>
              <w:t xml:space="preserve">  </w:t>
            </w:r>
            <w:r w:rsidRPr="0063734C">
              <w:rPr>
                <w:rFonts w:ascii="Arial" w:eastAsia="標楷體" w:hAnsi="標楷體" w:cs="Arial"/>
              </w:rPr>
              <w:t>費</w:t>
            </w:r>
            <w:r w:rsidR="00297229">
              <w:rPr>
                <w:rFonts w:ascii="Arial" w:eastAsia="標楷體" w:hAnsi="標楷體" w:cs="Arial" w:hint="eastAsia"/>
              </w:rPr>
              <w:t xml:space="preserve">  </w:t>
            </w:r>
            <w:r w:rsidRPr="0063734C">
              <w:rPr>
                <w:rFonts w:ascii="Arial" w:eastAsia="標楷體" w:hAnsi="標楷體" w:cs="Arial"/>
              </w:rPr>
              <w:t>方</w:t>
            </w:r>
            <w:r w:rsidR="00297229">
              <w:rPr>
                <w:rFonts w:ascii="Arial" w:eastAsia="標楷體" w:hAnsi="標楷體" w:cs="Arial" w:hint="eastAsia"/>
              </w:rPr>
              <w:t xml:space="preserve">  </w:t>
            </w:r>
            <w:r w:rsidRPr="0063734C">
              <w:rPr>
                <w:rFonts w:ascii="Arial" w:eastAsia="標楷體" w:hAnsi="標楷體" w:cs="Arial"/>
              </w:rPr>
              <w:t>式</w:t>
            </w:r>
          </w:p>
          <w:p w:rsidR="00A475B1" w:rsidRDefault="0063734C" w:rsidP="000A33F5">
            <w:pPr>
              <w:spacing w:line="240" w:lineRule="exact"/>
              <w:ind w:firstLineChars="650" w:firstLine="1560"/>
              <w:rPr>
                <w:rFonts w:ascii="Arial" w:eastAsia="標楷體" w:hAnsi="Arial" w:cs="Arial"/>
              </w:rPr>
            </w:pPr>
            <w:r w:rsidRPr="0063734C">
              <w:rPr>
                <w:rFonts w:ascii="Arial" w:eastAsia="標楷體" w:hAnsi="標楷體" w:cs="Arial"/>
              </w:rPr>
              <w:t>（每電臺）</w:t>
            </w:r>
          </w:p>
        </w:tc>
      </w:tr>
      <w:tr w:rsidR="00297229" w:rsidRPr="00297229" w:rsidTr="00570CB9">
        <w:trPr>
          <w:trHeight w:val="767"/>
        </w:trPr>
        <w:tc>
          <w:tcPr>
            <w:tcW w:w="4253" w:type="dxa"/>
          </w:tcPr>
          <w:p w:rsidR="00297229" w:rsidRPr="004E5AFA" w:rsidRDefault="00A475B1" w:rsidP="002B485F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中心頻率&lt; </w:t>
            </w:r>
            <w:smartTag w:uri="urn:schemas-microsoft-com:office:smarttags" w:element="chmetcnv">
              <w:smartTagPr>
                <w:attr w:name="UnitName" w:val="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475B1">
                <w:rPr>
                  <w:rFonts w:ascii="標楷體" w:eastAsia="標楷體" w:hAnsi="標楷體" w:cs="Arial"/>
                </w:rPr>
                <w:t>30M</w:t>
              </w:r>
            </w:smartTag>
            <w:r w:rsidRPr="00A475B1">
              <w:rPr>
                <w:rFonts w:ascii="標楷體" w:eastAsia="標楷體" w:hAnsi="標楷體" w:cs="Arial"/>
              </w:rPr>
              <w:t>Hz</w:t>
            </w:r>
          </w:p>
        </w:tc>
        <w:tc>
          <w:tcPr>
            <w:tcW w:w="4394" w:type="dxa"/>
          </w:tcPr>
          <w:p w:rsidR="00A475B1" w:rsidRDefault="00570CB9">
            <w:pPr>
              <w:spacing w:line="240" w:lineRule="atLeast"/>
              <w:ind w:left="96" w:hangingChars="40" w:hanging="96"/>
              <w:jc w:val="center"/>
              <w:rPr>
                <w:rFonts w:ascii="Arial" w:eastAsia="標楷體" w:hAnsi="Arial" w:cs="Arial"/>
              </w:rPr>
            </w:pPr>
            <w:r w:rsidRPr="00297229">
              <w:rPr>
                <w:position w:val="-24"/>
              </w:rPr>
              <w:object w:dxaOrig="22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65pt;height:31.95pt" o:ole="">
                  <v:imagedata r:id="rId7" o:title=""/>
                </v:shape>
                <o:OLEObject Type="Embed" ProgID="Equation.3" ShapeID="_x0000_i1025" DrawAspect="Content" ObjectID="_1495436171" r:id="rId8"/>
              </w:object>
            </w:r>
          </w:p>
        </w:tc>
      </w:tr>
      <w:tr w:rsidR="00297229" w:rsidRPr="00297229" w:rsidTr="006A5F7B">
        <w:trPr>
          <w:trHeight w:val="589"/>
        </w:trPr>
        <w:tc>
          <w:tcPr>
            <w:tcW w:w="4253" w:type="dxa"/>
          </w:tcPr>
          <w:p w:rsidR="00297229" w:rsidRPr="004E5AFA" w:rsidRDefault="00A475B1" w:rsidP="002B485F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30MHz </w:t>
            </w:r>
            <w:proofErr w:type="gramStart"/>
            <w:r>
              <w:rPr>
                <w:rFonts w:ascii="標楷體" w:eastAsia="標楷體" w:hAnsi="標楷體" w:cs="Arial"/>
              </w:rPr>
              <w:t>≦</w:t>
            </w:r>
            <w:proofErr w:type="gramEnd"/>
            <w:r w:rsidRPr="00A475B1">
              <w:rPr>
                <w:rFonts w:ascii="標楷體" w:eastAsia="標楷體" w:hAnsi="標楷體" w:cs="Arial"/>
              </w:rPr>
              <w:t xml:space="preserve">中心頻率&lt; </w:t>
            </w:r>
          </w:p>
          <w:p w:rsidR="00297229" w:rsidRPr="004E5AFA" w:rsidRDefault="00A475B1" w:rsidP="002B485F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>1GHz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570CB9">
              <w:rPr>
                <w:position w:val="-24"/>
              </w:rPr>
              <w:object w:dxaOrig="2460" w:dyaOrig="560">
                <v:shape id="_x0000_i1026" type="#_x0000_t75" style="width:157.75pt;height:36.95pt" o:ole="">
                  <v:imagedata r:id="rId9" o:title=""/>
                </v:shape>
                <o:OLEObject Type="Embed" ProgID="Equation.3" ShapeID="_x0000_i1026" DrawAspect="Content" ObjectID="_1495436172" r:id="rId10"/>
              </w:object>
            </w:r>
          </w:p>
        </w:tc>
      </w:tr>
      <w:tr w:rsidR="00297229" w:rsidRPr="00297229" w:rsidTr="00570CB9">
        <w:trPr>
          <w:trHeight w:val="894"/>
        </w:trPr>
        <w:tc>
          <w:tcPr>
            <w:tcW w:w="4253" w:type="dxa"/>
          </w:tcPr>
          <w:p w:rsidR="00E351F7" w:rsidRDefault="00A475B1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1GHz </w:t>
            </w:r>
            <w:proofErr w:type="gramStart"/>
            <w:r>
              <w:rPr>
                <w:rFonts w:ascii="標楷體" w:eastAsia="標楷體" w:hAnsi="標楷體" w:cs="Arial"/>
              </w:rPr>
              <w:t>≦</w:t>
            </w:r>
            <w:proofErr w:type="gramEnd"/>
            <w:r w:rsidRPr="00A475B1">
              <w:rPr>
                <w:rFonts w:ascii="標楷體" w:eastAsia="標楷體" w:hAnsi="標楷體" w:cs="Arial"/>
              </w:rPr>
              <w:t xml:space="preserve">中心頻率&lt; </w:t>
            </w:r>
          </w:p>
          <w:p w:rsidR="00E351F7" w:rsidRDefault="00A475B1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>3GHz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297229">
              <w:rPr>
                <w:position w:val="-24"/>
              </w:rPr>
              <w:object w:dxaOrig="2200" w:dyaOrig="560">
                <v:shape id="_x0000_i1027" type="#_x0000_t75" style="width:155.9pt;height:38.2pt" o:ole="">
                  <v:imagedata r:id="rId11" o:title=""/>
                </v:shape>
                <o:OLEObject Type="Embed" ProgID="Equation.3" ShapeID="_x0000_i1027" DrawAspect="Content" ObjectID="_1495436173" r:id="rId12"/>
              </w:object>
            </w:r>
          </w:p>
        </w:tc>
      </w:tr>
      <w:tr w:rsidR="00297229" w:rsidRPr="00297229" w:rsidTr="00570CB9">
        <w:trPr>
          <w:trHeight w:val="704"/>
        </w:trPr>
        <w:tc>
          <w:tcPr>
            <w:tcW w:w="4253" w:type="dxa"/>
          </w:tcPr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3GHz </w:t>
            </w:r>
            <w:proofErr w:type="gramStart"/>
            <w:r>
              <w:rPr>
                <w:rFonts w:ascii="標楷體" w:eastAsia="標楷體" w:hAnsi="標楷體" w:cs="Arial"/>
              </w:rPr>
              <w:t>≦</w:t>
            </w:r>
            <w:proofErr w:type="gramEnd"/>
            <w:r w:rsidRPr="00A475B1">
              <w:rPr>
                <w:rFonts w:ascii="標楷體" w:eastAsia="標楷體" w:hAnsi="標楷體" w:cs="Arial"/>
              </w:rPr>
              <w:t>中心頻率&lt;</w:t>
            </w:r>
          </w:p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>12GHz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297229">
              <w:rPr>
                <w:position w:val="-30"/>
              </w:rPr>
              <w:object w:dxaOrig="3260" w:dyaOrig="720">
                <v:shape id="_x0000_i1028" type="#_x0000_t75" style="width:154.65pt;height:29.45pt" o:ole="">
                  <v:imagedata r:id="rId13" o:title=""/>
                </v:shape>
                <o:OLEObject Type="Embed" ProgID="Equation.3" ShapeID="_x0000_i1028" DrawAspect="Content" ObjectID="_1495436174" r:id="rId14"/>
              </w:object>
            </w:r>
          </w:p>
        </w:tc>
      </w:tr>
      <w:tr w:rsidR="00297229" w:rsidRPr="00297229" w:rsidTr="00570CB9">
        <w:trPr>
          <w:trHeight w:val="828"/>
        </w:trPr>
        <w:tc>
          <w:tcPr>
            <w:tcW w:w="4253" w:type="dxa"/>
          </w:tcPr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12GHz </w:t>
            </w:r>
            <w:r>
              <w:rPr>
                <w:rFonts w:ascii="標楷體" w:eastAsia="標楷體" w:hAnsi="標楷體" w:cs="Arial"/>
              </w:rPr>
              <w:t>≦</w:t>
            </w:r>
            <w:r w:rsidRPr="00A475B1">
              <w:rPr>
                <w:rFonts w:ascii="標楷體" w:eastAsia="標楷體" w:hAnsi="標楷體" w:cs="Arial"/>
              </w:rPr>
              <w:t>中心頻率</w:t>
            </w:r>
            <w:r w:rsidR="00F504A7" w:rsidRPr="00A475B1">
              <w:rPr>
                <w:rFonts w:ascii="標楷體" w:eastAsia="標楷體" w:hAnsi="標楷體" w:cs="Arial"/>
              </w:rPr>
              <w:t>&lt;</w:t>
            </w:r>
          </w:p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>23GHz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A9283D">
              <w:rPr>
                <w:position w:val="-30"/>
              </w:rPr>
              <w:object w:dxaOrig="3159" w:dyaOrig="720">
                <v:shape id="_x0000_i1029" type="#_x0000_t75" style="width:147.15pt;height:30.7pt" o:ole="">
                  <v:imagedata r:id="rId15" o:title=""/>
                </v:shape>
                <o:OLEObject Type="Embed" ProgID="Equation.3" ShapeID="_x0000_i1029" DrawAspect="Content" ObjectID="_1495436175" r:id="rId16"/>
              </w:object>
            </w:r>
          </w:p>
        </w:tc>
      </w:tr>
      <w:tr w:rsidR="00297229" w:rsidRPr="00297229" w:rsidTr="00570CB9">
        <w:trPr>
          <w:trHeight w:val="839"/>
        </w:trPr>
        <w:tc>
          <w:tcPr>
            <w:tcW w:w="4253" w:type="dxa"/>
          </w:tcPr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23GHz </w:t>
            </w:r>
            <w:proofErr w:type="gramStart"/>
            <w:r>
              <w:rPr>
                <w:rFonts w:ascii="標楷體" w:eastAsia="標楷體" w:hAnsi="標楷體" w:cs="Arial"/>
              </w:rPr>
              <w:t>≦</w:t>
            </w:r>
            <w:proofErr w:type="gramEnd"/>
            <w:r w:rsidRPr="00A475B1">
              <w:rPr>
                <w:rFonts w:ascii="標楷體" w:eastAsia="標楷體" w:hAnsi="標楷體" w:cs="Arial"/>
              </w:rPr>
              <w:t xml:space="preserve">中心頻率&lt; </w:t>
            </w:r>
          </w:p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>31GHz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A9283D">
              <w:rPr>
                <w:position w:val="-30"/>
              </w:rPr>
              <w:object w:dxaOrig="3159" w:dyaOrig="720">
                <v:shape id="_x0000_i1030" type="#_x0000_t75" style="width:147.15pt;height:30.7pt" o:ole="">
                  <v:imagedata r:id="rId17" o:title=""/>
                </v:shape>
                <o:OLEObject Type="Embed" ProgID="Equation.3" ShapeID="_x0000_i1030" DrawAspect="Content" ObjectID="_1495436176" r:id="rId18"/>
              </w:object>
            </w:r>
          </w:p>
        </w:tc>
      </w:tr>
      <w:tr w:rsidR="00297229" w:rsidRPr="00297229" w:rsidTr="00570CB9">
        <w:trPr>
          <w:trHeight w:val="696"/>
        </w:trPr>
        <w:tc>
          <w:tcPr>
            <w:tcW w:w="4253" w:type="dxa"/>
          </w:tcPr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31GHz </w:t>
            </w:r>
            <w:proofErr w:type="gramStart"/>
            <w:r>
              <w:rPr>
                <w:rFonts w:ascii="標楷體" w:eastAsia="標楷體" w:hAnsi="標楷體" w:cs="Arial"/>
              </w:rPr>
              <w:t>≦</w:t>
            </w:r>
            <w:proofErr w:type="gramEnd"/>
            <w:r w:rsidRPr="00A475B1">
              <w:rPr>
                <w:rFonts w:ascii="標楷體" w:eastAsia="標楷體" w:hAnsi="標楷體" w:cs="Arial"/>
              </w:rPr>
              <w:t xml:space="preserve">中心頻率&lt; </w:t>
            </w:r>
          </w:p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>42GHz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2609BA">
              <w:rPr>
                <w:position w:val="-30"/>
              </w:rPr>
              <w:object w:dxaOrig="3159" w:dyaOrig="720">
                <v:shape id="_x0000_i1031" type="#_x0000_t75" style="width:2in;height:32.55pt" o:ole="">
                  <v:imagedata r:id="rId19" o:title=""/>
                </v:shape>
                <o:OLEObject Type="Embed" ProgID="Equation.3" ShapeID="_x0000_i1031" DrawAspect="Content" ObjectID="_1495436177" r:id="rId20"/>
              </w:object>
            </w:r>
          </w:p>
        </w:tc>
      </w:tr>
      <w:tr w:rsidR="00297229" w:rsidRPr="00297229" w:rsidTr="00570CB9">
        <w:trPr>
          <w:trHeight w:val="880"/>
        </w:trPr>
        <w:tc>
          <w:tcPr>
            <w:tcW w:w="4253" w:type="dxa"/>
          </w:tcPr>
          <w:p w:rsidR="00297229" w:rsidRPr="004E5AFA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42GHz </w:t>
            </w:r>
            <w:proofErr w:type="gramStart"/>
            <w:r w:rsidRPr="00A475B1">
              <w:rPr>
                <w:rFonts w:ascii="標楷體" w:eastAsia="標楷體" w:hAnsi="標楷體" w:cs="Arial" w:hint="eastAsia"/>
              </w:rPr>
              <w:t>≦</w:t>
            </w:r>
            <w:proofErr w:type="gramEnd"/>
            <w:r w:rsidRPr="00A475B1">
              <w:rPr>
                <w:rFonts w:ascii="標楷體" w:eastAsia="標楷體" w:hAnsi="標楷體" w:cs="Arial" w:hint="eastAsia"/>
              </w:rPr>
              <w:t>中心頻率</w:t>
            </w:r>
          </w:p>
          <w:p w:rsidR="00E351F7" w:rsidRDefault="00A475B1" w:rsidP="00C71075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>&lt;</w:t>
            </w:r>
            <w:r w:rsidR="006A5F7B">
              <w:rPr>
                <w:rFonts w:ascii="標楷體" w:eastAsia="標楷體" w:hAnsi="標楷體" w:cs="Arial" w:hint="eastAsia"/>
              </w:rPr>
              <w:t xml:space="preserve"> </w:t>
            </w:r>
            <w:r w:rsidRPr="00A475B1">
              <w:rPr>
                <w:rFonts w:ascii="標楷體" w:eastAsia="標楷體" w:hAnsi="標楷體" w:cs="Arial"/>
              </w:rPr>
              <w:t>70GHz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2609BA">
              <w:rPr>
                <w:position w:val="-30"/>
              </w:rPr>
              <w:object w:dxaOrig="3120" w:dyaOrig="720">
                <v:shape id="_x0000_i1032" type="#_x0000_t75" style="width:144.65pt;height:32.55pt" o:ole="">
                  <v:imagedata r:id="rId21" o:title=""/>
                </v:shape>
                <o:OLEObject Type="Embed" ProgID="Equation.3" ShapeID="_x0000_i1032" DrawAspect="Content" ObjectID="_1495436178" r:id="rId22"/>
              </w:object>
            </w:r>
          </w:p>
        </w:tc>
      </w:tr>
      <w:tr w:rsidR="00297229" w:rsidRPr="00297229" w:rsidTr="00570CB9">
        <w:trPr>
          <w:trHeight w:val="776"/>
        </w:trPr>
        <w:tc>
          <w:tcPr>
            <w:tcW w:w="4253" w:type="dxa"/>
          </w:tcPr>
          <w:p w:rsidR="00297229" w:rsidRPr="004E5AFA" w:rsidRDefault="00A475B1" w:rsidP="002B485F">
            <w:pPr>
              <w:rPr>
                <w:rFonts w:ascii="標楷體" w:eastAsia="標楷體" w:hAnsi="標楷體" w:cs="Arial"/>
              </w:rPr>
            </w:pPr>
            <w:r w:rsidRPr="00A475B1">
              <w:rPr>
                <w:rFonts w:ascii="標楷體" w:eastAsia="標楷體" w:hAnsi="標楷體" w:cs="Arial"/>
              </w:rPr>
              <w:t xml:space="preserve">70GHz </w:t>
            </w:r>
            <w:proofErr w:type="gramStart"/>
            <w:r w:rsidRPr="00A475B1">
              <w:rPr>
                <w:rFonts w:ascii="標楷體" w:eastAsia="標楷體" w:hAnsi="標楷體" w:cs="Arial" w:hint="eastAsia"/>
              </w:rPr>
              <w:t>≦</w:t>
            </w:r>
            <w:proofErr w:type="gramEnd"/>
            <w:r w:rsidRPr="00A475B1">
              <w:rPr>
                <w:rFonts w:ascii="標楷體" w:eastAsia="標楷體" w:hAnsi="標楷體" w:cs="Arial" w:hint="eastAsia"/>
              </w:rPr>
              <w:t>中心頻率</w:t>
            </w:r>
          </w:p>
        </w:tc>
        <w:tc>
          <w:tcPr>
            <w:tcW w:w="4394" w:type="dxa"/>
          </w:tcPr>
          <w:p w:rsidR="00A475B1" w:rsidRDefault="00570CB9">
            <w:pPr>
              <w:jc w:val="center"/>
              <w:rPr>
                <w:rFonts w:ascii="Arial" w:eastAsia="標楷體" w:hAnsi="Arial" w:cs="Arial"/>
              </w:rPr>
            </w:pPr>
            <w:r w:rsidRPr="002609BA">
              <w:rPr>
                <w:position w:val="-30"/>
              </w:rPr>
              <w:object w:dxaOrig="2980" w:dyaOrig="720">
                <v:shape id="_x0000_i1033" type="#_x0000_t75" style="width:139.6pt;height:33.2pt" o:ole="">
                  <v:imagedata r:id="rId23" o:title=""/>
                </v:shape>
                <o:OLEObject Type="Embed" ProgID="Equation.3" ShapeID="_x0000_i1033" DrawAspect="Content" ObjectID="_1495436179" r:id="rId24"/>
              </w:object>
            </w:r>
          </w:p>
        </w:tc>
      </w:tr>
      <w:tr w:rsidR="00297229" w:rsidRPr="001610BA" w:rsidTr="002609BA">
        <w:trPr>
          <w:trHeight w:val="531"/>
        </w:trPr>
        <w:tc>
          <w:tcPr>
            <w:tcW w:w="8647" w:type="dxa"/>
            <w:gridSpan w:val="2"/>
          </w:tcPr>
          <w:p w:rsidR="00D7719A" w:rsidRDefault="0063734C" w:rsidP="00D7719A">
            <w:pPr>
              <w:spacing w:line="240" w:lineRule="exact"/>
              <w:jc w:val="both"/>
              <w:rPr>
                <w:rFonts w:ascii="標楷體" w:eastAsia="標楷體" w:hAnsi="標楷體" w:cstheme="majorBidi"/>
                <w:sz w:val="36"/>
                <w:szCs w:val="36"/>
              </w:rPr>
            </w:pPr>
            <w:r w:rsidRPr="0063734C">
              <w:rPr>
                <w:rFonts w:ascii="標楷體" w:eastAsia="標楷體" w:hAnsi="標楷體"/>
              </w:rPr>
              <w:t>備註：</w:t>
            </w:r>
          </w:p>
          <w:p w:rsidR="00D7719A" w:rsidRDefault="0063734C" w:rsidP="00D7719A">
            <w:pPr>
              <w:spacing w:line="240" w:lineRule="exact"/>
              <w:jc w:val="both"/>
              <w:rPr>
                <w:rFonts w:ascii="標楷體" w:eastAsia="標楷體" w:hAnsi="標楷體" w:cstheme="majorBidi"/>
                <w:sz w:val="36"/>
                <w:szCs w:val="36"/>
              </w:rPr>
            </w:pPr>
            <w:r w:rsidRPr="0063734C">
              <w:rPr>
                <w:rFonts w:ascii="標楷體" w:eastAsia="標楷體" w:hAnsi="標楷體"/>
              </w:rPr>
              <w:t>1.</w:t>
            </w:r>
            <w:r w:rsidRPr="0063734C">
              <w:rPr>
                <w:rFonts w:ascii="標楷體" w:eastAsia="標楷體" w:hAnsi="標楷體" w:hint="eastAsia"/>
              </w:rPr>
              <w:t>BW：</w:t>
            </w:r>
            <w:proofErr w:type="gramStart"/>
            <w:r w:rsidRPr="0063734C">
              <w:rPr>
                <w:rFonts w:ascii="標楷體" w:eastAsia="標楷體" w:hAnsi="標楷體"/>
              </w:rPr>
              <w:t>指配頻寬</w:t>
            </w:r>
            <w:proofErr w:type="gramEnd"/>
          </w:p>
          <w:p w:rsidR="00A475B1" w:rsidRDefault="0063734C" w:rsidP="00A475B1">
            <w:pPr>
              <w:spacing w:line="240" w:lineRule="exact"/>
              <w:ind w:leftChars="75" w:left="540" w:hangingChars="150" w:hanging="360"/>
              <w:jc w:val="both"/>
              <w:rPr>
                <w:rFonts w:ascii="標楷體" w:eastAsia="標楷體" w:hAnsi="標楷體" w:cstheme="majorBidi"/>
                <w:sz w:val="36"/>
                <w:szCs w:val="36"/>
              </w:rPr>
            </w:pPr>
            <w:r w:rsidRPr="0063734C">
              <w:rPr>
                <w:rFonts w:ascii="標楷體" w:eastAsia="標楷體" w:hAnsi="標楷體" w:hint="eastAsia"/>
              </w:rPr>
              <w:t>W：發射機發射功率(瓦)。</w:t>
            </w:r>
          </w:p>
          <w:p w:rsidR="00A475B1" w:rsidRDefault="0063734C" w:rsidP="00A475B1">
            <w:pPr>
              <w:spacing w:line="240" w:lineRule="exact"/>
              <w:ind w:leftChars="75" w:left="420" w:hangingChars="100" w:hanging="240"/>
              <w:jc w:val="both"/>
              <w:rPr>
                <w:rFonts w:ascii="標楷體" w:eastAsia="標楷體" w:hAnsi="標楷體" w:cstheme="majorBidi"/>
                <w:sz w:val="36"/>
                <w:szCs w:val="36"/>
              </w:rPr>
            </w:pPr>
            <w:r w:rsidRPr="0063734C">
              <w:rPr>
                <w:rFonts w:ascii="標楷體" w:eastAsia="標楷體" w:hAnsi="標楷體" w:hint="eastAsia"/>
              </w:rPr>
              <w:t>d：調整係數（詳如附錄二）</w:t>
            </w:r>
          </w:p>
          <w:p w:rsidR="00A475B1" w:rsidRDefault="0063734C" w:rsidP="00A475B1">
            <w:pPr>
              <w:spacing w:line="24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3734C">
              <w:rPr>
                <w:rFonts w:ascii="標楷體" w:eastAsia="標楷體" w:hAnsi="標楷體" w:hint="eastAsia"/>
              </w:rPr>
              <w:t>2.非營利之政府機構</w:t>
            </w:r>
            <w:proofErr w:type="gramStart"/>
            <w:r w:rsidRPr="0063734C">
              <w:rPr>
                <w:rFonts w:ascii="標楷體" w:eastAsia="標楷體" w:hAnsi="標楷體"/>
              </w:rPr>
              <w:t>指配頻寬</w:t>
            </w:r>
            <w:proofErr w:type="gramEnd"/>
            <w:r w:rsidRPr="0063734C">
              <w:rPr>
                <w:rFonts w:ascii="標楷體" w:eastAsia="標楷體" w:hAnsi="標楷體"/>
              </w:rPr>
              <w:t>超過20MHz者以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63734C">
                <w:rPr>
                  <w:rFonts w:ascii="標楷體" w:eastAsia="標楷體" w:hAnsi="標楷體"/>
                </w:rPr>
                <w:t>20M</w:t>
              </w:r>
            </w:smartTag>
            <w:r w:rsidRPr="0063734C">
              <w:rPr>
                <w:rFonts w:ascii="標楷體" w:eastAsia="標楷體" w:hAnsi="標楷體" w:hint="eastAsia"/>
              </w:rPr>
              <w:t>Hz計算，其他機構</w:t>
            </w:r>
            <w:proofErr w:type="gramStart"/>
            <w:r w:rsidRPr="0063734C">
              <w:rPr>
                <w:rFonts w:ascii="標楷體" w:eastAsia="標楷體" w:hAnsi="標楷體"/>
              </w:rPr>
              <w:t>指配頻寬</w:t>
            </w:r>
            <w:proofErr w:type="gramEnd"/>
            <w:r w:rsidRPr="0063734C">
              <w:rPr>
                <w:rFonts w:ascii="標楷體" w:eastAsia="標楷體" w:hAnsi="標楷體"/>
              </w:rPr>
              <w:t>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"/>
                <w:attr w:name="UnitName" w:val="m"/>
              </w:smartTagPr>
              <w:r w:rsidRPr="0063734C">
                <w:rPr>
                  <w:rFonts w:ascii="標楷體" w:eastAsia="標楷體" w:hAnsi="標楷體"/>
                </w:rPr>
                <w:t>56M</w:t>
              </w:r>
            </w:smartTag>
            <w:r w:rsidRPr="0063734C">
              <w:rPr>
                <w:rFonts w:ascii="標楷體" w:eastAsia="標楷體" w:hAnsi="標楷體" w:hint="eastAsia"/>
              </w:rPr>
              <w:t>Hz者以56MHz計算。</w:t>
            </w:r>
          </w:p>
          <w:p w:rsidR="00A475B1" w:rsidRDefault="0063734C" w:rsidP="00A475B1">
            <w:pPr>
              <w:spacing w:line="24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3734C">
              <w:rPr>
                <w:rFonts w:ascii="標楷體" w:eastAsia="標楷體" w:hAnsi="標楷體" w:hint="eastAsia"/>
              </w:rPr>
              <w:t>3.發射機發射功率低於0.5瓦者以0.5瓦計算，高於100瓦者以100</w:t>
            </w:r>
            <w:r w:rsidRPr="0063734C">
              <w:rPr>
                <w:rFonts w:ascii="標楷體" w:eastAsia="標楷體" w:hAnsi="標楷體"/>
              </w:rPr>
              <w:t xml:space="preserve"> </w:t>
            </w:r>
            <w:r w:rsidRPr="0063734C">
              <w:rPr>
                <w:rFonts w:ascii="標楷體" w:eastAsia="標楷體" w:hAnsi="標楷體" w:hint="eastAsia"/>
              </w:rPr>
              <w:t>瓦計算。</w:t>
            </w:r>
          </w:p>
          <w:p w:rsidR="00A475B1" w:rsidRDefault="0063734C" w:rsidP="00A475B1">
            <w:pPr>
              <w:spacing w:line="24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3734C">
              <w:rPr>
                <w:rFonts w:ascii="標楷體" w:eastAsia="標楷體" w:hAnsi="標楷體" w:hint="eastAsia"/>
              </w:rPr>
              <w:t>4.區域多點分散式系統(LMDS；Local</w:t>
            </w:r>
            <w:r w:rsidRPr="0063734C">
              <w:rPr>
                <w:rFonts w:ascii="標楷體" w:eastAsia="標楷體" w:hAnsi="標楷體"/>
              </w:rPr>
              <w:t xml:space="preserve"> Multipoint-Distribution </w:t>
            </w:r>
            <w:r w:rsidRPr="0063734C">
              <w:rPr>
                <w:rFonts w:ascii="標楷體" w:eastAsia="標楷體" w:hAnsi="標楷體" w:hint="eastAsia"/>
              </w:rPr>
              <w:t>System)之頻率使用費以主控基地</w:t>
            </w:r>
            <w:proofErr w:type="gramStart"/>
            <w:r w:rsidRPr="0063734C">
              <w:rPr>
                <w:rFonts w:ascii="標楷體" w:eastAsia="標楷體" w:hAnsi="標楷體"/>
              </w:rPr>
              <w:t>臺</w:t>
            </w:r>
            <w:proofErr w:type="gramEnd"/>
            <w:r w:rsidRPr="0063734C">
              <w:rPr>
                <w:rFonts w:ascii="標楷體" w:eastAsia="標楷體" w:hAnsi="標楷體"/>
              </w:rPr>
              <w:t>（Hub）個別計算</w:t>
            </w:r>
            <w:proofErr w:type="gramStart"/>
            <w:r w:rsidRPr="0063734C">
              <w:rPr>
                <w:rFonts w:ascii="標楷體" w:eastAsia="標楷體" w:hAnsi="標楷體"/>
              </w:rPr>
              <w:t>（</w:t>
            </w:r>
            <w:proofErr w:type="gramEnd"/>
            <w:r w:rsidRPr="0063734C">
              <w:rPr>
                <w:rFonts w:ascii="標楷體" w:eastAsia="標楷體" w:hAnsi="標楷體"/>
              </w:rPr>
              <w:t>依指配頻寬及功率計費；BW</w:t>
            </w:r>
            <w:proofErr w:type="gramStart"/>
            <w:r w:rsidRPr="0063734C">
              <w:rPr>
                <w:rFonts w:ascii="標楷體" w:eastAsia="標楷體" w:hAnsi="標楷體"/>
              </w:rPr>
              <w:t>指配頻寬</w:t>
            </w:r>
            <w:proofErr w:type="gramEnd"/>
            <w:r w:rsidRPr="0063734C">
              <w:rPr>
                <w:rFonts w:ascii="標楷體" w:eastAsia="標楷體" w:hAnsi="標楷體"/>
              </w:rPr>
              <w:t>不受超過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"/>
                <w:attr w:name="UnitName" w:val="m"/>
              </w:smartTagPr>
              <w:r w:rsidRPr="0063734C">
                <w:rPr>
                  <w:rFonts w:ascii="標楷體" w:eastAsia="標楷體" w:hAnsi="標楷體"/>
                </w:rPr>
                <w:t>56M</w:t>
              </w:r>
            </w:smartTag>
            <w:r w:rsidRPr="0063734C">
              <w:rPr>
                <w:rFonts w:ascii="標楷體" w:eastAsia="標楷體" w:hAnsi="標楷體" w:hint="eastAsia"/>
              </w:rPr>
              <w:t>Hz者以56MHz計算之限制</w:t>
            </w:r>
            <w:proofErr w:type="gramStart"/>
            <w:r w:rsidRPr="0063734C">
              <w:rPr>
                <w:rFonts w:ascii="標楷體" w:eastAsia="標楷體" w:hAnsi="標楷體"/>
              </w:rPr>
              <w:t>）</w:t>
            </w:r>
            <w:proofErr w:type="gramEnd"/>
            <w:r w:rsidRPr="0063734C">
              <w:rPr>
                <w:rFonts w:ascii="標楷體" w:eastAsia="標楷體" w:hAnsi="標楷體"/>
              </w:rPr>
              <w:t>。</w:t>
            </w:r>
          </w:p>
          <w:p w:rsidR="00E351F7" w:rsidRDefault="0063734C">
            <w:pPr>
              <w:snapToGrid w:val="0"/>
              <w:spacing w:line="240" w:lineRule="exact"/>
              <w:ind w:left="153" w:hanging="153"/>
              <w:jc w:val="both"/>
              <w:rPr>
                <w:rFonts w:ascii="標楷體" w:eastAsia="標楷體" w:hAnsi="標楷體"/>
              </w:rPr>
            </w:pPr>
            <w:r w:rsidRPr="0063734C">
              <w:rPr>
                <w:rFonts w:ascii="標楷體" w:eastAsia="標楷體" w:hAnsi="標楷體" w:hint="eastAsia"/>
              </w:rPr>
              <w:t>5.『無線用戶迴路』(Wireless</w:t>
            </w:r>
            <w:r w:rsidRPr="0063734C">
              <w:rPr>
                <w:rFonts w:ascii="標楷體" w:eastAsia="標楷體" w:hAnsi="標楷體"/>
              </w:rPr>
              <w:t xml:space="preserve"> local </w:t>
            </w:r>
            <w:r w:rsidRPr="0063734C">
              <w:rPr>
                <w:rFonts w:ascii="標楷體" w:eastAsia="標楷體" w:hAnsi="標楷體" w:hint="eastAsia"/>
              </w:rPr>
              <w:t>loop):固定通信業務經營者，申請於3.4~3.7GHz建設『無線用戶迴路』，每一經營者其應繳交之頻率使用費=</w:t>
            </w:r>
            <w:r w:rsidRPr="0063734C">
              <w:rPr>
                <w:rFonts w:ascii="標楷體" w:eastAsia="標楷體" w:hAnsi="標楷體"/>
              </w:rPr>
              <w:t xml:space="preserve"> </w:t>
            </w:r>
            <w:r w:rsidRPr="0063734C">
              <w:rPr>
                <w:rFonts w:ascii="標楷體" w:eastAsia="標楷體" w:hAnsi="標楷體" w:hint="eastAsia"/>
              </w:rPr>
              <w:t>每MHz頻率使用費×</w:t>
            </w:r>
            <w:proofErr w:type="gramStart"/>
            <w:r w:rsidRPr="0063734C">
              <w:rPr>
                <w:rFonts w:ascii="標楷體" w:eastAsia="標楷體" w:hAnsi="標楷體"/>
              </w:rPr>
              <w:t>指配頻寬</w:t>
            </w:r>
            <w:proofErr w:type="gramEnd"/>
            <w:r w:rsidRPr="0063734C">
              <w:rPr>
                <w:rFonts w:ascii="標楷體" w:eastAsia="標楷體" w:hAnsi="標楷體" w:hint="eastAsia"/>
              </w:rPr>
              <w:t>×業務別調整係數×區域係數(其中每MHz頻率使用費及業務別調整係數參照第三代行動通信業務，分別訂定為10,675,000元及1；區域分全區及北、中、南三區，區域係數參照收費標準附錄</w:t>
            </w:r>
            <w:proofErr w:type="gramStart"/>
            <w:r w:rsidRPr="0063734C">
              <w:rPr>
                <w:rFonts w:ascii="標楷體" w:eastAsia="標楷體" w:hAnsi="標楷體"/>
              </w:rPr>
              <w:t>一</w:t>
            </w:r>
            <w:proofErr w:type="gramEnd"/>
            <w:r w:rsidRPr="0063734C">
              <w:rPr>
                <w:rFonts w:ascii="標楷體" w:eastAsia="標楷體" w:hAnsi="標楷體"/>
              </w:rPr>
              <w:t>：全區=1、北區=0.45、中區=0.25、南區=0.3)</w:t>
            </w:r>
          </w:p>
          <w:p w:rsidR="00A475B1" w:rsidRDefault="0063734C" w:rsidP="00A475B1">
            <w:pPr>
              <w:spacing w:line="240" w:lineRule="exact"/>
              <w:ind w:left="96" w:hangingChars="40" w:hanging="9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3734C">
              <w:rPr>
                <w:rFonts w:ascii="標楷體" w:eastAsia="標楷體" w:hAnsi="標楷體" w:hint="eastAsia"/>
              </w:rPr>
              <w:t>6.僅計算發射端之頻率使用費，接收端</w:t>
            </w:r>
            <w:proofErr w:type="gramStart"/>
            <w:r w:rsidRPr="0063734C">
              <w:rPr>
                <w:rFonts w:ascii="標楷體" w:eastAsia="標楷體" w:hAnsi="標楷體"/>
              </w:rPr>
              <w:t>不</w:t>
            </w:r>
            <w:proofErr w:type="gramEnd"/>
            <w:r w:rsidRPr="0063734C">
              <w:rPr>
                <w:rFonts w:ascii="標楷體" w:eastAsia="標楷體" w:hAnsi="標楷體"/>
              </w:rPr>
              <w:t>另外計費。</w:t>
            </w:r>
          </w:p>
        </w:tc>
      </w:tr>
    </w:tbl>
    <w:p w:rsidR="00D07D90" w:rsidRDefault="00D07D90" w:rsidP="00AF5B28">
      <w:pPr>
        <w:spacing w:line="560" w:lineRule="exact"/>
        <w:ind w:left="600" w:hangingChars="200" w:hanging="600"/>
        <w:rPr>
          <w:rFonts w:ascii="Arial" w:eastAsia="標楷體" w:hAnsi="Arial" w:cs="Arial"/>
          <w:sz w:val="30"/>
          <w:szCs w:val="30"/>
        </w:rPr>
      </w:pPr>
    </w:p>
    <w:p w:rsidR="00A475B1" w:rsidRDefault="00067F88">
      <w:pPr>
        <w:spacing w:line="520" w:lineRule="exact"/>
        <w:rPr>
          <w:rFonts w:ascii="Arial" w:eastAsia="標楷體" w:hAnsi="標楷體" w:cs="Arial"/>
          <w:b/>
          <w:sz w:val="32"/>
          <w:szCs w:val="32"/>
        </w:rPr>
      </w:pPr>
      <w:r w:rsidRPr="001610BA">
        <w:rPr>
          <w:rFonts w:ascii="Arial" w:eastAsia="標楷體" w:hAnsi="標楷體" w:cs="Arial"/>
          <w:b/>
          <w:sz w:val="32"/>
          <w:szCs w:val="32"/>
        </w:rPr>
        <w:lastRenderedPageBreak/>
        <w:t>附錄二</w:t>
      </w:r>
      <w:r w:rsidR="00B1155E">
        <w:rPr>
          <w:rFonts w:ascii="Arial" w:eastAsia="標楷體" w:hAnsi="標楷體" w:cs="Arial"/>
          <w:b/>
          <w:sz w:val="32"/>
          <w:szCs w:val="32"/>
        </w:rPr>
        <w:t>：</w:t>
      </w:r>
      <w:r w:rsidR="0063734C" w:rsidRPr="0063734C">
        <w:rPr>
          <w:rFonts w:ascii="Arial" w:eastAsia="標楷體" w:hAnsi="標楷體" w:cs="Arial"/>
          <w:b/>
          <w:sz w:val="32"/>
          <w:szCs w:val="32"/>
        </w:rPr>
        <w:t>調整係數</w:t>
      </w:r>
      <w:r w:rsidR="0063734C" w:rsidRPr="0063734C">
        <w:rPr>
          <w:rFonts w:ascii="Arial" w:eastAsia="標楷體" w:hAnsi="Arial" w:cs="Arial"/>
          <w:b/>
          <w:sz w:val="32"/>
          <w:szCs w:val="32"/>
        </w:rPr>
        <w:t>d</w:t>
      </w:r>
      <w:proofErr w:type="gramStart"/>
      <w:r w:rsidR="0063734C" w:rsidRPr="0063734C">
        <w:rPr>
          <w:rFonts w:ascii="Arial" w:eastAsia="標楷體" w:hAnsi="標楷體" w:cs="Arial"/>
          <w:b/>
          <w:sz w:val="32"/>
          <w:szCs w:val="32"/>
        </w:rPr>
        <w:t>（</w:t>
      </w:r>
      <w:proofErr w:type="gramEnd"/>
      <w:r w:rsidR="0063734C" w:rsidRPr="0063734C">
        <w:rPr>
          <w:rFonts w:ascii="Arial" w:eastAsia="標楷體" w:hAnsi="標楷體" w:cs="Arial"/>
          <w:b/>
          <w:sz w:val="32"/>
          <w:szCs w:val="32"/>
        </w:rPr>
        <w:t>特殊用途、業務性質、偏僻地區、非頻</w:t>
      </w:r>
    </w:p>
    <w:p w:rsidR="00A475B1" w:rsidRDefault="0063734C">
      <w:pPr>
        <w:spacing w:line="520" w:lineRule="exact"/>
        <w:ind w:firstLineChars="400" w:firstLine="1281"/>
        <w:rPr>
          <w:rFonts w:ascii="Arial" w:eastAsia="標楷體" w:hAnsi="Arial" w:cs="Arial"/>
          <w:b/>
          <w:sz w:val="32"/>
          <w:szCs w:val="32"/>
        </w:rPr>
      </w:pPr>
      <w:r w:rsidRPr="0063734C">
        <w:rPr>
          <w:rFonts w:ascii="Arial" w:eastAsia="標楷體" w:hAnsi="標楷體" w:cs="Arial"/>
          <w:b/>
          <w:sz w:val="32"/>
          <w:szCs w:val="32"/>
        </w:rPr>
        <w:t>率擁擠地區、物價指數等調整因素</w:t>
      </w:r>
      <w:proofErr w:type="gramStart"/>
      <w:r w:rsidRPr="0063734C">
        <w:rPr>
          <w:rFonts w:ascii="Arial" w:eastAsia="標楷體" w:hAnsi="標楷體" w:cs="Arial"/>
          <w:b/>
          <w:sz w:val="32"/>
          <w:szCs w:val="32"/>
        </w:rPr>
        <w:t>）</w:t>
      </w:r>
      <w:proofErr w:type="gramEnd"/>
    </w:p>
    <w:p w:rsidR="00B1155E" w:rsidRPr="00B1155E" w:rsidRDefault="0063734C" w:rsidP="00B1155E">
      <w:pPr>
        <w:spacing w:line="300" w:lineRule="auto"/>
        <w:rPr>
          <w:rFonts w:ascii="Arial" w:eastAsia="標楷體" w:hAnsi="Arial" w:cs="Arial"/>
        </w:rPr>
      </w:pPr>
      <w:r w:rsidRPr="0063734C">
        <w:rPr>
          <w:rFonts w:ascii="Arial" w:eastAsia="標楷體" w:hAnsi="標楷體" w:cs="Arial"/>
        </w:rPr>
        <w:t>專用電信業務：</w:t>
      </w:r>
    </w:p>
    <w:p w:rsidR="00A475B1" w:rsidRDefault="0063734C" w:rsidP="000A33F5">
      <w:pPr>
        <w:tabs>
          <w:tab w:val="left" w:pos="7680"/>
        </w:tabs>
        <w:spacing w:line="300" w:lineRule="auto"/>
        <w:ind w:firstLineChars="100" w:firstLine="240"/>
        <w:rPr>
          <w:rFonts w:ascii="Arial" w:eastAsia="標楷體" w:hAnsi="標楷體" w:cs="Arial"/>
          <w:b/>
        </w:rPr>
      </w:pPr>
      <w:r w:rsidRPr="0063734C">
        <w:rPr>
          <w:rFonts w:ascii="Arial" w:eastAsia="標楷體" w:hAnsi="標楷體" w:cs="Arial"/>
        </w:rPr>
        <w:t>非營利性質政府機構</w:t>
      </w:r>
      <w:r w:rsidRPr="0063734C">
        <w:rPr>
          <w:rFonts w:ascii="Arial" w:eastAsia="標楷體" w:hAnsi="標楷體" w:cs="Arial" w:hint="eastAsia"/>
        </w:rPr>
        <w:t>設置之電臺</w:t>
      </w:r>
      <w:r w:rsidRPr="0063734C">
        <w:rPr>
          <w:rFonts w:ascii="Arial" w:eastAsia="標楷體" w:hAnsi="Arial" w:cs="Arial"/>
        </w:rPr>
        <w:t xml:space="preserve">     </w:t>
      </w:r>
      <w:r w:rsidR="00B1155E">
        <w:rPr>
          <w:rFonts w:ascii="Arial" w:eastAsia="標楷體" w:hAnsi="Arial" w:cs="Arial" w:hint="eastAsia"/>
        </w:rPr>
        <w:t xml:space="preserve">                           </w:t>
      </w:r>
      <w:r w:rsidRPr="0063734C">
        <w:rPr>
          <w:rFonts w:ascii="標楷體" w:eastAsia="標楷體" w:hAnsi="標楷體" w:cs="Arial"/>
        </w:rPr>
        <w:t>d=0.3</w:t>
      </w:r>
    </w:p>
    <w:p w:rsidR="00A475B1" w:rsidRDefault="0063734C" w:rsidP="000A33F5">
      <w:pPr>
        <w:tabs>
          <w:tab w:val="left" w:pos="7680"/>
        </w:tabs>
        <w:spacing w:line="300" w:lineRule="auto"/>
        <w:ind w:firstLineChars="100" w:firstLine="240"/>
        <w:rPr>
          <w:rFonts w:ascii="Arial" w:eastAsia="標楷體" w:hAnsi="Arial" w:cs="Arial"/>
        </w:rPr>
      </w:pPr>
      <w:r w:rsidRPr="0063734C">
        <w:rPr>
          <w:rFonts w:ascii="Arial" w:eastAsia="標楷體" w:hAnsi="標楷體" w:cs="Arial"/>
        </w:rPr>
        <w:t>警察、海巡、醫療、漁業</w:t>
      </w:r>
      <w:r w:rsidRPr="0063734C">
        <w:rPr>
          <w:rFonts w:ascii="Arial" w:eastAsia="標楷體" w:hAnsi="標楷體" w:cs="Arial" w:hint="eastAsia"/>
        </w:rPr>
        <w:t>之電臺</w:t>
      </w:r>
      <w:r w:rsidRPr="0063734C">
        <w:rPr>
          <w:rFonts w:ascii="Arial" w:eastAsia="標楷體" w:hAnsi="標楷體" w:cs="Arial"/>
        </w:rPr>
        <w:t xml:space="preserve">     </w:t>
      </w:r>
      <w:r w:rsidR="00B1155E">
        <w:rPr>
          <w:rFonts w:ascii="Arial" w:eastAsia="標楷體" w:hAnsi="標楷體" w:cs="Arial" w:hint="eastAsia"/>
        </w:rPr>
        <w:t xml:space="preserve">                         </w:t>
      </w:r>
      <w:r w:rsidRPr="0063734C">
        <w:rPr>
          <w:rFonts w:ascii="標楷體" w:eastAsia="標楷體" w:hAnsi="標楷體" w:cs="Arial"/>
        </w:rPr>
        <w:t xml:space="preserve">  d=0.1</w:t>
      </w:r>
    </w:p>
    <w:p w:rsidR="00A475B1" w:rsidRDefault="0063734C" w:rsidP="000A33F5">
      <w:pPr>
        <w:tabs>
          <w:tab w:val="left" w:pos="7680"/>
        </w:tabs>
        <w:spacing w:line="300" w:lineRule="auto"/>
        <w:ind w:firstLineChars="100" w:firstLine="240"/>
        <w:rPr>
          <w:rFonts w:ascii="Arial" w:eastAsia="標楷體" w:hAnsi="Arial" w:cs="Arial"/>
        </w:rPr>
      </w:pPr>
      <w:r w:rsidRPr="0063734C">
        <w:rPr>
          <w:rFonts w:ascii="Arial" w:eastAsia="標楷體" w:hAnsi="標楷體" w:cs="Arial"/>
        </w:rPr>
        <w:t>其他</w:t>
      </w:r>
      <w:r w:rsidRPr="0063734C">
        <w:rPr>
          <w:rFonts w:ascii="Arial" w:eastAsia="標楷體" w:hAnsi="Arial" w:cs="Arial"/>
        </w:rPr>
        <w:t xml:space="preserve">                            </w:t>
      </w:r>
      <w:r w:rsidR="00B1155E">
        <w:rPr>
          <w:rFonts w:ascii="Arial" w:eastAsia="標楷體" w:hAnsi="Arial" w:cs="Arial" w:hint="eastAsia"/>
        </w:rPr>
        <w:t xml:space="preserve">                           </w:t>
      </w:r>
      <w:r w:rsidRPr="0063734C">
        <w:rPr>
          <w:rFonts w:ascii="標楷體" w:eastAsia="標楷體" w:hAnsi="標楷體" w:cs="Arial"/>
        </w:rPr>
        <w:t xml:space="preserve"> d=1</w:t>
      </w:r>
    </w:p>
    <w:p w:rsidR="00A475B1" w:rsidRDefault="00A475B1">
      <w:pPr>
        <w:tabs>
          <w:tab w:val="left" w:pos="7680"/>
        </w:tabs>
        <w:spacing w:line="300" w:lineRule="auto"/>
        <w:ind w:firstLineChars="100" w:firstLine="240"/>
        <w:rPr>
          <w:rFonts w:ascii="標楷體" w:eastAsia="標楷體" w:hAnsi="標楷體" w:cs="Arial"/>
        </w:rPr>
      </w:pPr>
    </w:p>
    <w:p w:rsidR="005E7FE1" w:rsidRDefault="005E7FE1">
      <w:pPr>
        <w:tabs>
          <w:tab w:val="left" w:pos="7680"/>
        </w:tabs>
        <w:spacing w:line="300" w:lineRule="auto"/>
        <w:ind w:firstLineChars="100" w:firstLine="240"/>
        <w:rPr>
          <w:rFonts w:ascii="標楷體" w:eastAsia="標楷體" w:hAnsi="標楷體" w:cs="Arial"/>
        </w:rPr>
      </w:pPr>
    </w:p>
    <w:p w:rsidR="005E7FE1" w:rsidRDefault="005E7FE1">
      <w:pPr>
        <w:tabs>
          <w:tab w:val="left" w:pos="7680"/>
        </w:tabs>
        <w:spacing w:line="300" w:lineRule="auto"/>
        <w:ind w:firstLineChars="100" w:firstLine="240"/>
        <w:rPr>
          <w:rFonts w:ascii="標楷體" w:eastAsia="標楷體" w:hAnsi="標楷體" w:cs="Arial"/>
        </w:rPr>
      </w:pPr>
    </w:p>
    <w:p w:rsidR="00A475B1" w:rsidRDefault="0063734C">
      <w:pPr>
        <w:spacing w:line="520" w:lineRule="exact"/>
        <w:rPr>
          <w:rFonts w:ascii="Arial" w:eastAsia="標楷體" w:hAnsi="標楷體" w:cs="Arial"/>
          <w:b/>
          <w:color w:val="000000"/>
          <w:sz w:val="32"/>
          <w:szCs w:val="32"/>
        </w:rPr>
      </w:pPr>
      <w:r w:rsidRPr="0063734C">
        <w:rPr>
          <w:rFonts w:ascii="Arial" w:eastAsia="標楷體" w:hAnsi="標楷體" w:cs="Arial"/>
          <w:b/>
          <w:sz w:val="32"/>
          <w:szCs w:val="32"/>
        </w:rPr>
        <w:t>附錄</w:t>
      </w:r>
      <w:proofErr w:type="gramStart"/>
      <w:r w:rsidRPr="0063734C">
        <w:rPr>
          <w:rFonts w:ascii="Arial" w:eastAsia="標楷體" w:hAnsi="標楷體" w:cs="Arial"/>
          <w:b/>
          <w:sz w:val="32"/>
          <w:szCs w:val="32"/>
        </w:rPr>
        <w:t>三</w:t>
      </w:r>
      <w:proofErr w:type="gramEnd"/>
      <w:r w:rsidRPr="0063734C">
        <w:rPr>
          <w:rFonts w:ascii="Arial" w:eastAsia="標楷體" w:hAnsi="標楷體" w:cs="Arial"/>
          <w:b/>
          <w:sz w:val="32"/>
          <w:szCs w:val="32"/>
        </w:rPr>
        <w:t>：</w:t>
      </w:r>
      <w:r w:rsidRPr="0063734C">
        <w:rPr>
          <w:rFonts w:ascii="Arial" w:eastAsia="標楷體" w:hAnsi="標楷體" w:cs="Arial"/>
          <w:b/>
          <w:color w:val="000000"/>
          <w:sz w:val="32"/>
          <w:szCs w:val="32"/>
        </w:rPr>
        <w:t>船舶海上遇險安全救難及陸上救難通信頻率表</w:t>
      </w:r>
    </w:p>
    <w:p w:rsidR="00A475B1" w:rsidRDefault="0063734C" w:rsidP="000A33F5">
      <w:pPr>
        <w:spacing w:line="520" w:lineRule="exact"/>
        <w:ind w:firstLineChars="50" w:firstLine="160"/>
        <w:rPr>
          <w:rFonts w:ascii="Arial" w:eastAsia="標楷體" w:hAnsi="標楷體" w:cs="Arial"/>
          <w:b/>
          <w:color w:val="000000"/>
          <w:sz w:val="32"/>
          <w:szCs w:val="32"/>
        </w:rPr>
      </w:pPr>
      <w:r w:rsidRPr="0063734C">
        <w:rPr>
          <w:rFonts w:ascii="Arial" w:eastAsia="標楷體" w:hAnsi="標楷體" w:cs="Arial"/>
          <w:b/>
          <w:color w:val="000000"/>
          <w:sz w:val="32"/>
          <w:szCs w:val="32"/>
        </w:rPr>
        <w:t>一、船舶海上遇險安全救難通信頻率表</w:t>
      </w:r>
    </w:p>
    <w:p w:rsidR="0015286F" w:rsidRPr="00B47764" w:rsidRDefault="0015286F" w:rsidP="0015286F">
      <w:pPr>
        <w:rPr>
          <w:rFonts w:ascii="標楷體" w:eastAsia="標楷體" w:hAnsi="標楷體"/>
          <w:b/>
        </w:rPr>
      </w:pPr>
    </w:p>
    <w:tbl>
      <w:tblPr>
        <w:tblStyle w:val="a3"/>
        <w:tblW w:w="7920" w:type="dxa"/>
        <w:tblInd w:w="468" w:type="dxa"/>
        <w:tblLayout w:type="fixed"/>
        <w:tblLook w:val="01E0"/>
      </w:tblPr>
      <w:tblGrid>
        <w:gridCol w:w="2334"/>
        <w:gridCol w:w="5586"/>
      </w:tblGrid>
      <w:tr w:rsidR="0015286F" w:rsidTr="0015286F">
        <w:trPr>
          <w:trHeight w:val="353"/>
        </w:trPr>
        <w:tc>
          <w:tcPr>
            <w:tcW w:w="2334" w:type="dxa"/>
          </w:tcPr>
          <w:p w:rsidR="00A475B1" w:rsidRDefault="0063734C" w:rsidP="000A33F5">
            <w:pPr>
              <w:spacing w:line="280" w:lineRule="exact"/>
              <w:ind w:firstLineChars="100" w:firstLine="240"/>
              <w:jc w:val="center"/>
              <w:rPr>
                <w:rFonts w:ascii="Arial" w:eastAsia="標楷體" w:hAnsi="Arial" w:cs="Arial"/>
              </w:rPr>
            </w:pPr>
            <w:r w:rsidRPr="0063734C">
              <w:rPr>
                <w:rFonts w:ascii="Arial" w:eastAsia="標楷體" w:hAnsi="標楷體" w:cs="Arial"/>
              </w:rPr>
              <w:t>通</w:t>
            </w:r>
            <w:r w:rsidRPr="0063734C">
              <w:rPr>
                <w:rFonts w:ascii="Arial" w:eastAsia="標楷體" w:hAnsi="Arial" w:cs="Arial"/>
              </w:rPr>
              <w:t xml:space="preserve">  </w:t>
            </w:r>
            <w:r w:rsidRPr="0063734C">
              <w:rPr>
                <w:rFonts w:ascii="Arial" w:eastAsia="標楷體" w:hAnsi="標楷體" w:cs="Arial"/>
              </w:rPr>
              <w:t>信</w:t>
            </w:r>
            <w:r w:rsidRPr="0063734C">
              <w:rPr>
                <w:rFonts w:ascii="Arial" w:eastAsia="標楷體" w:hAnsi="Arial" w:cs="Arial"/>
              </w:rPr>
              <w:t xml:space="preserve">  </w:t>
            </w:r>
            <w:r w:rsidRPr="0063734C">
              <w:rPr>
                <w:rFonts w:ascii="Arial" w:eastAsia="標楷體" w:hAnsi="標楷體" w:cs="Arial"/>
              </w:rPr>
              <w:t>頻</w:t>
            </w:r>
            <w:r w:rsidRPr="0063734C">
              <w:rPr>
                <w:rFonts w:ascii="Arial" w:eastAsia="標楷體" w:hAnsi="Arial" w:cs="Arial"/>
              </w:rPr>
              <w:t xml:space="preserve">  </w:t>
            </w:r>
            <w:r w:rsidRPr="0063734C">
              <w:rPr>
                <w:rFonts w:ascii="Arial" w:eastAsia="標楷體" w:hAnsi="標楷體" w:cs="Arial"/>
              </w:rPr>
              <w:t>率</w:t>
            </w:r>
          </w:p>
        </w:tc>
        <w:tc>
          <w:tcPr>
            <w:tcW w:w="5586" w:type="dxa"/>
          </w:tcPr>
          <w:p w:rsidR="00A475B1" w:rsidRDefault="0063734C" w:rsidP="000A33F5">
            <w:pPr>
              <w:spacing w:line="280" w:lineRule="exact"/>
              <w:ind w:firstLineChars="100" w:firstLine="240"/>
              <w:jc w:val="center"/>
              <w:rPr>
                <w:rFonts w:ascii="Arial" w:eastAsia="標楷體" w:hAnsi="Arial" w:cs="Arial"/>
              </w:rPr>
            </w:pPr>
            <w:r w:rsidRPr="0063734C">
              <w:rPr>
                <w:rFonts w:ascii="Arial" w:eastAsia="標楷體" w:hAnsi="標楷體" w:cs="Arial"/>
              </w:rPr>
              <w:t>用</w:t>
            </w:r>
            <w:r w:rsidRPr="0063734C">
              <w:rPr>
                <w:rFonts w:ascii="Arial" w:eastAsia="標楷體" w:hAnsi="標楷體" w:cs="Arial"/>
              </w:rPr>
              <w:t xml:space="preserve">      </w:t>
            </w:r>
            <w:r w:rsidRPr="0063734C">
              <w:rPr>
                <w:rFonts w:ascii="Arial" w:eastAsia="標楷體" w:hAnsi="標楷體" w:cs="Arial"/>
              </w:rPr>
              <w:t>途</w:t>
            </w:r>
          </w:p>
        </w:tc>
      </w:tr>
      <w:tr w:rsidR="0015286F" w:rsidTr="0015286F">
        <w:trPr>
          <w:trHeight w:val="925"/>
        </w:trPr>
        <w:tc>
          <w:tcPr>
            <w:tcW w:w="2334" w:type="dxa"/>
          </w:tcPr>
          <w:p w:rsidR="00A475B1" w:rsidRDefault="0063734C" w:rsidP="00A475B1">
            <w:pPr>
              <w:spacing w:line="280" w:lineRule="exact"/>
              <w:rPr>
                <w:rFonts w:ascii="Arial" w:eastAsia="標楷體" w:hAnsi="Arial" w:cs="Arial"/>
              </w:rPr>
            </w:pPr>
            <w:r w:rsidRPr="0063734C">
              <w:rPr>
                <w:rFonts w:ascii="標楷體" w:eastAsia="標楷體" w:hint="eastAsia"/>
              </w:rPr>
              <w:t>157.2、157.25、157.3、157.4、161.8、161.85、161.9、162</w:t>
            </w:r>
            <w:r w:rsidRPr="0063734C">
              <w:rPr>
                <w:rFonts w:ascii="標楷體" w:eastAsia="標楷體"/>
              </w:rPr>
              <w:t xml:space="preserve"> MHz</w:t>
            </w:r>
          </w:p>
        </w:tc>
        <w:tc>
          <w:tcPr>
            <w:tcW w:w="5586" w:type="dxa"/>
          </w:tcPr>
          <w:p w:rsidR="00A475B1" w:rsidRDefault="0063734C" w:rsidP="000A33F5">
            <w:pPr>
              <w:spacing w:line="28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63734C">
              <w:rPr>
                <w:rFonts w:ascii="標楷體" w:eastAsia="標楷體" w:hint="eastAsia"/>
              </w:rPr>
              <w:t>◆全球海上遇險及安全系統(GMDSS</w:t>
            </w:r>
            <w:proofErr w:type="gramStart"/>
            <w:r w:rsidRPr="0063734C">
              <w:rPr>
                <w:rFonts w:ascii="標楷體" w:eastAsia="標楷體" w:hint="eastAsia"/>
              </w:rPr>
              <w:t>）</w:t>
            </w:r>
            <w:proofErr w:type="gramEnd"/>
            <w:r w:rsidRPr="0063734C">
              <w:rPr>
                <w:rFonts w:ascii="標楷體" w:eastAsia="標楷體" w:hint="eastAsia"/>
              </w:rPr>
              <w:t>使用</w:t>
            </w:r>
          </w:p>
        </w:tc>
      </w:tr>
    </w:tbl>
    <w:p w:rsidR="006B44DF" w:rsidRDefault="006B44DF" w:rsidP="000A33F5">
      <w:pPr>
        <w:tabs>
          <w:tab w:val="left" w:pos="7680"/>
        </w:tabs>
        <w:spacing w:line="300" w:lineRule="auto"/>
        <w:ind w:left="480" w:firstLineChars="100" w:firstLine="240"/>
        <w:rPr>
          <w:rFonts w:ascii="標楷體" w:eastAsia="標楷體" w:hAnsi="標楷體" w:cs="Arial"/>
        </w:rPr>
      </w:pPr>
    </w:p>
    <w:sectPr w:rsidR="006B44DF" w:rsidSect="00614072">
      <w:pgSz w:w="11906" w:h="16838"/>
      <w:pgMar w:top="1077" w:right="1826" w:bottom="1077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96" w:rsidRDefault="00307296" w:rsidP="00FE4E7C">
      <w:r>
        <w:separator/>
      </w:r>
    </w:p>
  </w:endnote>
  <w:endnote w:type="continuationSeparator" w:id="0">
    <w:p w:rsidR="00307296" w:rsidRDefault="00307296" w:rsidP="00FE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96" w:rsidRDefault="00307296" w:rsidP="00FE4E7C">
      <w:r>
        <w:separator/>
      </w:r>
    </w:p>
  </w:footnote>
  <w:footnote w:type="continuationSeparator" w:id="0">
    <w:p w:rsidR="00307296" w:rsidRDefault="00307296" w:rsidP="00FE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464"/>
    <w:rsid w:val="00001515"/>
    <w:rsid w:val="000037C7"/>
    <w:rsid w:val="0001477F"/>
    <w:rsid w:val="00016302"/>
    <w:rsid w:val="00021A14"/>
    <w:rsid w:val="0002217B"/>
    <w:rsid w:val="00022A32"/>
    <w:rsid w:val="00023F5E"/>
    <w:rsid w:val="000258E3"/>
    <w:rsid w:val="0002618F"/>
    <w:rsid w:val="000375C4"/>
    <w:rsid w:val="00042688"/>
    <w:rsid w:val="00057038"/>
    <w:rsid w:val="00064E5C"/>
    <w:rsid w:val="00067F88"/>
    <w:rsid w:val="00080570"/>
    <w:rsid w:val="00081874"/>
    <w:rsid w:val="00082A80"/>
    <w:rsid w:val="00085A48"/>
    <w:rsid w:val="000A33F5"/>
    <w:rsid w:val="000B5E1C"/>
    <w:rsid w:val="000F45AB"/>
    <w:rsid w:val="000F6E05"/>
    <w:rsid w:val="001011F4"/>
    <w:rsid w:val="00105AFA"/>
    <w:rsid w:val="001129B8"/>
    <w:rsid w:val="00113A3D"/>
    <w:rsid w:val="001170F4"/>
    <w:rsid w:val="001201F5"/>
    <w:rsid w:val="00123F39"/>
    <w:rsid w:val="00141B6A"/>
    <w:rsid w:val="0015248A"/>
    <w:rsid w:val="0015286F"/>
    <w:rsid w:val="00154C7E"/>
    <w:rsid w:val="00156613"/>
    <w:rsid w:val="00161C36"/>
    <w:rsid w:val="00161CA7"/>
    <w:rsid w:val="00162662"/>
    <w:rsid w:val="001843A2"/>
    <w:rsid w:val="00184C4E"/>
    <w:rsid w:val="00186661"/>
    <w:rsid w:val="001914DA"/>
    <w:rsid w:val="00193C4F"/>
    <w:rsid w:val="001A1FEA"/>
    <w:rsid w:val="001A2734"/>
    <w:rsid w:val="001A7D99"/>
    <w:rsid w:val="001C1EC0"/>
    <w:rsid w:val="001C73D0"/>
    <w:rsid w:val="001D02EB"/>
    <w:rsid w:val="001D247E"/>
    <w:rsid w:val="001D6791"/>
    <w:rsid w:val="001E2480"/>
    <w:rsid w:val="001E50D1"/>
    <w:rsid w:val="001E7DBF"/>
    <w:rsid w:val="001F5957"/>
    <w:rsid w:val="0020186F"/>
    <w:rsid w:val="0020540A"/>
    <w:rsid w:val="00206554"/>
    <w:rsid w:val="00217823"/>
    <w:rsid w:val="002202EB"/>
    <w:rsid w:val="00233A10"/>
    <w:rsid w:val="00252188"/>
    <w:rsid w:val="00255FDD"/>
    <w:rsid w:val="00256876"/>
    <w:rsid w:val="002609BA"/>
    <w:rsid w:val="002717CA"/>
    <w:rsid w:val="00273FF6"/>
    <w:rsid w:val="00277D37"/>
    <w:rsid w:val="00290376"/>
    <w:rsid w:val="00297229"/>
    <w:rsid w:val="002A2D1D"/>
    <w:rsid w:val="002B5B7D"/>
    <w:rsid w:val="002C20C4"/>
    <w:rsid w:val="002C44E4"/>
    <w:rsid w:val="002D1854"/>
    <w:rsid w:val="002E3030"/>
    <w:rsid w:val="002E3637"/>
    <w:rsid w:val="002E5089"/>
    <w:rsid w:val="002F36F7"/>
    <w:rsid w:val="002F46A8"/>
    <w:rsid w:val="00301A33"/>
    <w:rsid w:val="00306E88"/>
    <w:rsid w:val="00307296"/>
    <w:rsid w:val="00307BC6"/>
    <w:rsid w:val="003109D7"/>
    <w:rsid w:val="003112DF"/>
    <w:rsid w:val="00312B0E"/>
    <w:rsid w:val="003140F4"/>
    <w:rsid w:val="003157EA"/>
    <w:rsid w:val="00330640"/>
    <w:rsid w:val="00334907"/>
    <w:rsid w:val="00343BDE"/>
    <w:rsid w:val="00344B30"/>
    <w:rsid w:val="00351A0E"/>
    <w:rsid w:val="00361809"/>
    <w:rsid w:val="00363F32"/>
    <w:rsid w:val="00365464"/>
    <w:rsid w:val="003674E8"/>
    <w:rsid w:val="003737E7"/>
    <w:rsid w:val="003808AC"/>
    <w:rsid w:val="00381E27"/>
    <w:rsid w:val="003824F7"/>
    <w:rsid w:val="00396B14"/>
    <w:rsid w:val="00396D52"/>
    <w:rsid w:val="003A47DA"/>
    <w:rsid w:val="003A6393"/>
    <w:rsid w:val="003A76C2"/>
    <w:rsid w:val="003C0311"/>
    <w:rsid w:val="003C6E4F"/>
    <w:rsid w:val="003E0069"/>
    <w:rsid w:val="003E0E67"/>
    <w:rsid w:val="003E78C3"/>
    <w:rsid w:val="003F2CCF"/>
    <w:rsid w:val="003F7A7D"/>
    <w:rsid w:val="004043DF"/>
    <w:rsid w:val="004120F4"/>
    <w:rsid w:val="00416226"/>
    <w:rsid w:val="0042390B"/>
    <w:rsid w:val="004266CB"/>
    <w:rsid w:val="00431F3F"/>
    <w:rsid w:val="004333A6"/>
    <w:rsid w:val="004459BD"/>
    <w:rsid w:val="00457F26"/>
    <w:rsid w:val="00461170"/>
    <w:rsid w:val="00480C76"/>
    <w:rsid w:val="00484209"/>
    <w:rsid w:val="0048746C"/>
    <w:rsid w:val="004972E7"/>
    <w:rsid w:val="004A0224"/>
    <w:rsid w:val="004A7869"/>
    <w:rsid w:val="004C0A2A"/>
    <w:rsid w:val="004C27B1"/>
    <w:rsid w:val="004D0CF7"/>
    <w:rsid w:val="004D2C4D"/>
    <w:rsid w:val="004D51E6"/>
    <w:rsid w:val="004D5C65"/>
    <w:rsid w:val="004D7134"/>
    <w:rsid w:val="004D716D"/>
    <w:rsid w:val="004E2060"/>
    <w:rsid w:val="004E5AFA"/>
    <w:rsid w:val="004E70CA"/>
    <w:rsid w:val="004F03F6"/>
    <w:rsid w:val="004F61B8"/>
    <w:rsid w:val="004F696B"/>
    <w:rsid w:val="0050168A"/>
    <w:rsid w:val="00507646"/>
    <w:rsid w:val="00507A12"/>
    <w:rsid w:val="00511DE4"/>
    <w:rsid w:val="00521C3E"/>
    <w:rsid w:val="0052398A"/>
    <w:rsid w:val="00551FAE"/>
    <w:rsid w:val="00554396"/>
    <w:rsid w:val="00570CB9"/>
    <w:rsid w:val="00573C16"/>
    <w:rsid w:val="00577251"/>
    <w:rsid w:val="00591175"/>
    <w:rsid w:val="00594962"/>
    <w:rsid w:val="00594EFA"/>
    <w:rsid w:val="005953B2"/>
    <w:rsid w:val="005A78C2"/>
    <w:rsid w:val="005B24F4"/>
    <w:rsid w:val="005B2548"/>
    <w:rsid w:val="005B350C"/>
    <w:rsid w:val="005C1ADA"/>
    <w:rsid w:val="005C5DCE"/>
    <w:rsid w:val="005D4522"/>
    <w:rsid w:val="005D54B4"/>
    <w:rsid w:val="005E1643"/>
    <w:rsid w:val="005E6F03"/>
    <w:rsid w:val="005E7FE1"/>
    <w:rsid w:val="005F367C"/>
    <w:rsid w:val="00600334"/>
    <w:rsid w:val="006004F9"/>
    <w:rsid w:val="00606F99"/>
    <w:rsid w:val="00607DC9"/>
    <w:rsid w:val="00611442"/>
    <w:rsid w:val="00614072"/>
    <w:rsid w:val="00630105"/>
    <w:rsid w:val="0063045E"/>
    <w:rsid w:val="006329D1"/>
    <w:rsid w:val="00632F8A"/>
    <w:rsid w:val="00633106"/>
    <w:rsid w:val="006353EA"/>
    <w:rsid w:val="0063734C"/>
    <w:rsid w:val="006451C8"/>
    <w:rsid w:val="00657D44"/>
    <w:rsid w:val="006700D3"/>
    <w:rsid w:val="0068184B"/>
    <w:rsid w:val="0068275E"/>
    <w:rsid w:val="00684176"/>
    <w:rsid w:val="006902A9"/>
    <w:rsid w:val="006A04F9"/>
    <w:rsid w:val="006A5F7B"/>
    <w:rsid w:val="006B3EB1"/>
    <w:rsid w:val="006B44DF"/>
    <w:rsid w:val="006B7181"/>
    <w:rsid w:val="006D57CB"/>
    <w:rsid w:val="006D5E7D"/>
    <w:rsid w:val="006E1C06"/>
    <w:rsid w:val="006E68C0"/>
    <w:rsid w:val="006F4CEE"/>
    <w:rsid w:val="0070240E"/>
    <w:rsid w:val="00705486"/>
    <w:rsid w:val="00711280"/>
    <w:rsid w:val="00713740"/>
    <w:rsid w:val="00713821"/>
    <w:rsid w:val="0071530A"/>
    <w:rsid w:val="007201C6"/>
    <w:rsid w:val="00722365"/>
    <w:rsid w:val="007328AD"/>
    <w:rsid w:val="00735FBE"/>
    <w:rsid w:val="00743342"/>
    <w:rsid w:val="00761BBB"/>
    <w:rsid w:val="00770121"/>
    <w:rsid w:val="0077506D"/>
    <w:rsid w:val="00786A8D"/>
    <w:rsid w:val="00786F88"/>
    <w:rsid w:val="0079049C"/>
    <w:rsid w:val="007A2409"/>
    <w:rsid w:val="007B33EC"/>
    <w:rsid w:val="007B3DA3"/>
    <w:rsid w:val="007E177A"/>
    <w:rsid w:val="007E1F21"/>
    <w:rsid w:val="008012EC"/>
    <w:rsid w:val="008066F1"/>
    <w:rsid w:val="00821058"/>
    <w:rsid w:val="008263FE"/>
    <w:rsid w:val="008307E7"/>
    <w:rsid w:val="00842255"/>
    <w:rsid w:val="00847C85"/>
    <w:rsid w:val="008519D8"/>
    <w:rsid w:val="00854A27"/>
    <w:rsid w:val="00871605"/>
    <w:rsid w:val="00883DC8"/>
    <w:rsid w:val="00883F54"/>
    <w:rsid w:val="00891F95"/>
    <w:rsid w:val="0089533A"/>
    <w:rsid w:val="00895E05"/>
    <w:rsid w:val="008960C5"/>
    <w:rsid w:val="008A18FC"/>
    <w:rsid w:val="008A5654"/>
    <w:rsid w:val="008A5F22"/>
    <w:rsid w:val="008C4D19"/>
    <w:rsid w:val="008D4FC4"/>
    <w:rsid w:val="008D52AE"/>
    <w:rsid w:val="008E6A1B"/>
    <w:rsid w:val="008F34E0"/>
    <w:rsid w:val="008F79B9"/>
    <w:rsid w:val="0091543F"/>
    <w:rsid w:val="009163F9"/>
    <w:rsid w:val="00925574"/>
    <w:rsid w:val="00932132"/>
    <w:rsid w:val="00936606"/>
    <w:rsid w:val="009376E6"/>
    <w:rsid w:val="00944E0F"/>
    <w:rsid w:val="0094737E"/>
    <w:rsid w:val="00947B3E"/>
    <w:rsid w:val="00965E43"/>
    <w:rsid w:val="00980EFA"/>
    <w:rsid w:val="00992569"/>
    <w:rsid w:val="009A1635"/>
    <w:rsid w:val="009A5D17"/>
    <w:rsid w:val="009A7D70"/>
    <w:rsid w:val="009C0021"/>
    <w:rsid w:val="009C4F8B"/>
    <w:rsid w:val="009C5AC8"/>
    <w:rsid w:val="009D5B7F"/>
    <w:rsid w:val="009E20B3"/>
    <w:rsid w:val="009E2BCF"/>
    <w:rsid w:val="00A03B83"/>
    <w:rsid w:val="00A04135"/>
    <w:rsid w:val="00A227A4"/>
    <w:rsid w:val="00A238B7"/>
    <w:rsid w:val="00A33216"/>
    <w:rsid w:val="00A43E15"/>
    <w:rsid w:val="00A475B1"/>
    <w:rsid w:val="00A51D26"/>
    <w:rsid w:val="00A56900"/>
    <w:rsid w:val="00A61B4B"/>
    <w:rsid w:val="00A678A1"/>
    <w:rsid w:val="00A67A9B"/>
    <w:rsid w:val="00A704DE"/>
    <w:rsid w:val="00A721CC"/>
    <w:rsid w:val="00A73E8E"/>
    <w:rsid w:val="00A9283D"/>
    <w:rsid w:val="00A963BF"/>
    <w:rsid w:val="00A97A69"/>
    <w:rsid w:val="00AA5AAA"/>
    <w:rsid w:val="00AB1C81"/>
    <w:rsid w:val="00AB23A3"/>
    <w:rsid w:val="00AB5FD5"/>
    <w:rsid w:val="00AC65EB"/>
    <w:rsid w:val="00AE6E93"/>
    <w:rsid w:val="00AF484D"/>
    <w:rsid w:val="00AF5B28"/>
    <w:rsid w:val="00AF6A8F"/>
    <w:rsid w:val="00B030D3"/>
    <w:rsid w:val="00B051FC"/>
    <w:rsid w:val="00B1155E"/>
    <w:rsid w:val="00B161D7"/>
    <w:rsid w:val="00B17698"/>
    <w:rsid w:val="00B252A3"/>
    <w:rsid w:val="00B32172"/>
    <w:rsid w:val="00B37ADC"/>
    <w:rsid w:val="00B51933"/>
    <w:rsid w:val="00B6433F"/>
    <w:rsid w:val="00B73E9A"/>
    <w:rsid w:val="00B75494"/>
    <w:rsid w:val="00B839D6"/>
    <w:rsid w:val="00B85051"/>
    <w:rsid w:val="00B9717D"/>
    <w:rsid w:val="00B9777F"/>
    <w:rsid w:val="00BA3A81"/>
    <w:rsid w:val="00BA75C0"/>
    <w:rsid w:val="00BB60E3"/>
    <w:rsid w:val="00BC1B54"/>
    <w:rsid w:val="00BC3775"/>
    <w:rsid w:val="00BC4F56"/>
    <w:rsid w:val="00BC57B1"/>
    <w:rsid w:val="00BC6090"/>
    <w:rsid w:val="00BD00B0"/>
    <w:rsid w:val="00BD0BDE"/>
    <w:rsid w:val="00BD29A1"/>
    <w:rsid w:val="00BD3DAA"/>
    <w:rsid w:val="00BE3D91"/>
    <w:rsid w:val="00BE687B"/>
    <w:rsid w:val="00BF52A9"/>
    <w:rsid w:val="00BF6408"/>
    <w:rsid w:val="00C01DD4"/>
    <w:rsid w:val="00C05686"/>
    <w:rsid w:val="00C2668F"/>
    <w:rsid w:val="00C33D3A"/>
    <w:rsid w:val="00C33FFA"/>
    <w:rsid w:val="00C35DB7"/>
    <w:rsid w:val="00C41DB3"/>
    <w:rsid w:val="00C71075"/>
    <w:rsid w:val="00C805A9"/>
    <w:rsid w:val="00C81F3B"/>
    <w:rsid w:val="00C84F51"/>
    <w:rsid w:val="00C85B16"/>
    <w:rsid w:val="00C9231B"/>
    <w:rsid w:val="00C95573"/>
    <w:rsid w:val="00C95B65"/>
    <w:rsid w:val="00C9793B"/>
    <w:rsid w:val="00CA1521"/>
    <w:rsid w:val="00CC23E0"/>
    <w:rsid w:val="00CC719E"/>
    <w:rsid w:val="00CD1852"/>
    <w:rsid w:val="00CD48D9"/>
    <w:rsid w:val="00CD6F7A"/>
    <w:rsid w:val="00CE203D"/>
    <w:rsid w:val="00CE4653"/>
    <w:rsid w:val="00CF2496"/>
    <w:rsid w:val="00CF4435"/>
    <w:rsid w:val="00D0436D"/>
    <w:rsid w:val="00D0635A"/>
    <w:rsid w:val="00D06A45"/>
    <w:rsid w:val="00D07D90"/>
    <w:rsid w:val="00D174B3"/>
    <w:rsid w:val="00D24692"/>
    <w:rsid w:val="00D371D0"/>
    <w:rsid w:val="00D4061D"/>
    <w:rsid w:val="00D41538"/>
    <w:rsid w:val="00D4272F"/>
    <w:rsid w:val="00D53F1E"/>
    <w:rsid w:val="00D65BA8"/>
    <w:rsid w:val="00D72085"/>
    <w:rsid w:val="00D75AD6"/>
    <w:rsid w:val="00D762FE"/>
    <w:rsid w:val="00D7719A"/>
    <w:rsid w:val="00D8485F"/>
    <w:rsid w:val="00D9264A"/>
    <w:rsid w:val="00D9503F"/>
    <w:rsid w:val="00DA10A9"/>
    <w:rsid w:val="00DA2232"/>
    <w:rsid w:val="00DA2742"/>
    <w:rsid w:val="00DA3728"/>
    <w:rsid w:val="00DA6DEB"/>
    <w:rsid w:val="00DB1253"/>
    <w:rsid w:val="00DB2993"/>
    <w:rsid w:val="00DB38AC"/>
    <w:rsid w:val="00DB772C"/>
    <w:rsid w:val="00DC08AC"/>
    <w:rsid w:val="00DC69C8"/>
    <w:rsid w:val="00DC6DF5"/>
    <w:rsid w:val="00DD0473"/>
    <w:rsid w:val="00DD53E6"/>
    <w:rsid w:val="00DD6F95"/>
    <w:rsid w:val="00DD780E"/>
    <w:rsid w:val="00DE3DAD"/>
    <w:rsid w:val="00DE5DD0"/>
    <w:rsid w:val="00DF1429"/>
    <w:rsid w:val="00DF1787"/>
    <w:rsid w:val="00DF6829"/>
    <w:rsid w:val="00E0140B"/>
    <w:rsid w:val="00E021B9"/>
    <w:rsid w:val="00E058AF"/>
    <w:rsid w:val="00E23695"/>
    <w:rsid w:val="00E240F4"/>
    <w:rsid w:val="00E33DC1"/>
    <w:rsid w:val="00E351F7"/>
    <w:rsid w:val="00E712B4"/>
    <w:rsid w:val="00E81C3B"/>
    <w:rsid w:val="00E859F3"/>
    <w:rsid w:val="00E86BE5"/>
    <w:rsid w:val="00E8761E"/>
    <w:rsid w:val="00E9422A"/>
    <w:rsid w:val="00EA735E"/>
    <w:rsid w:val="00EA78FA"/>
    <w:rsid w:val="00EA7BAE"/>
    <w:rsid w:val="00EB156E"/>
    <w:rsid w:val="00EB4519"/>
    <w:rsid w:val="00EB46E5"/>
    <w:rsid w:val="00EC1450"/>
    <w:rsid w:val="00ED2E11"/>
    <w:rsid w:val="00EE3EB0"/>
    <w:rsid w:val="00EE5CFF"/>
    <w:rsid w:val="00EF0555"/>
    <w:rsid w:val="00EF268D"/>
    <w:rsid w:val="00F1027D"/>
    <w:rsid w:val="00F12754"/>
    <w:rsid w:val="00F12B95"/>
    <w:rsid w:val="00F16BCF"/>
    <w:rsid w:val="00F21AEF"/>
    <w:rsid w:val="00F238A9"/>
    <w:rsid w:val="00F27F1D"/>
    <w:rsid w:val="00F40DD2"/>
    <w:rsid w:val="00F45FF2"/>
    <w:rsid w:val="00F504A7"/>
    <w:rsid w:val="00F53BAE"/>
    <w:rsid w:val="00F5787A"/>
    <w:rsid w:val="00F770CD"/>
    <w:rsid w:val="00F7795B"/>
    <w:rsid w:val="00F82120"/>
    <w:rsid w:val="00F824E8"/>
    <w:rsid w:val="00F83909"/>
    <w:rsid w:val="00F85464"/>
    <w:rsid w:val="00F87D99"/>
    <w:rsid w:val="00F87DC8"/>
    <w:rsid w:val="00F92F46"/>
    <w:rsid w:val="00FA7199"/>
    <w:rsid w:val="00FB545E"/>
    <w:rsid w:val="00FC57D1"/>
    <w:rsid w:val="00FC6A5E"/>
    <w:rsid w:val="00FD0F71"/>
    <w:rsid w:val="00FD4C15"/>
    <w:rsid w:val="00FD578D"/>
    <w:rsid w:val="00FD5A1A"/>
    <w:rsid w:val="00FE0867"/>
    <w:rsid w:val="00FE4E7C"/>
    <w:rsid w:val="00FE5A84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4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D247E"/>
    <w:pPr>
      <w:spacing w:after="120"/>
    </w:pPr>
  </w:style>
  <w:style w:type="paragraph" w:styleId="a5">
    <w:name w:val="header"/>
    <w:basedOn w:val="a"/>
    <w:link w:val="a6"/>
    <w:rsid w:val="00FE4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4E7C"/>
    <w:rPr>
      <w:kern w:val="2"/>
    </w:rPr>
  </w:style>
  <w:style w:type="paragraph" w:styleId="a7">
    <w:name w:val="footer"/>
    <w:basedOn w:val="a"/>
    <w:link w:val="a8"/>
    <w:rsid w:val="00FE4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4E7C"/>
    <w:rPr>
      <w:kern w:val="2"/>
    </w:rPr>
  </w:style>
  <w:style w:type="paragraph" w:styleId="a9">
    <w:name w:val="Balloon Text"/>
    <w:basedOn w:val="a"/>
    <w:link w:val="aa"/>
    <w:rsid w:val="000A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A33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oleObject" Target="embeddings/oleObject2.bin"/>
  <Relationship Id="rId11" Type="http://schemas.openxmlformats.org/officeDocument/2006/relationships/image" Target="media/image3.wmf"/>
  <Relationship Id="rId12" Type="http://schemas.openxmlformats.org/officeDocument/2006/relationships/oleObject" Target="embeddings/oleObject3.bin"/>
  <Relationship Id="rId13" Type="http://schemas.openxmlformats.org/officeDocument/2006/relationships/image" Target="media/image4.wmf"/>
  <Relationship Id="rId14" Type="http://schemas.openxmlformats.org/officeDocument/2006/relationships/oleObject" Target="embeddings/oleObject4.bin"/>
  <Relationship Id="rId15" Type="http://schemas.openxmlformats.org/officeDocument/2006/relationships/image" Target="media/image5.wmf"/>
  <Relationship Id="rId16" Type="http://schemas.openxmlformats.org/officeDocument/2006/relationships/oleObject" Target="embeddings/oleObject5.bin"/>
  <Relationship Id="rId17" Type="http://schemas.openxmlformats.org/officeDocument/2006/relationships/image" Target="media/image6.wmf"/>
  <Relationship Id="rId18" Type="http://schemas.openxmlformats.org/officeDocument/2006/relationships/oleObject" Target="embeddings/oleObject6.bin"/>
  <Relationship Id="rId19" Type="http://schemas.openxmlformats.org/officeDocument/2006/relationships/image" Target="media/image7.wmf"/>
  <Relationship Id="rId2" Type="http://schemas.openxmlformats.org/officeDocument/2006/relationships/styles" Target="styles.xml"/>
  <Relationship Id="rId20" Type="http://schemas.openxmlformats.org/officeDocument/2006/relationships/oleObject" Target="embeddings/oleObject7.bin"/>
  <Relationship Id="rId21" Type="http://schemas.openxmlformats.org/officeDocument/2006/relationships/image" Target="media/image8.wmf"/>
  <Relationship Id="rId22" Type="http://schemas.openxmlformats.org/officeDocument/2006/relationships/oleObject" Target="embeddings/oleObject8.bin"/>
  <Relationship Id="rId23" Type="http://schemas.openxmlformats.org/officeDocument/2006/relationships/image" Target="media/image9.wmf"/>
  <Relationship Id="rId24" Type="http://schemas.openxmlformats.org/officeDocument/2006/relationships/oleObject" Target="embeddings/oleObject9.bin"/>
  <Relationship Id="rId25" Type="http://schemas.openxmlformats.org/officeDocument/2006/relationships/fontTable" Target="fontTable.xml"/>
  <Relationship Id="rId26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image" Target="media/image2.w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A372-3FF9-4FCB-A209-65D9D63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303</Words>
  <Characters>1728</Characters>
  <Application>Microsoft Office Word</Application>
  <DocSecurity>0</DocSecurity>
  <Lines>14</Lines>
  <Paragraphs>4</Paragraphs>
  <ScaleCrop>false</ScaleCrop>
  <Company>國家通訊傳播委員會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2015-05-22T06:26:00Z</dcterms:created>
  <dc:creator>dgt</dc:creator>
  <lastModifiedBy>spl</lastModifiedBy>
  <lastPrinted>2008-12-16T07:33:00Z</lastPrinted>
  <dcterms:modified xsi:type="dcterms:W3CDTF">2015-06-10T02:10:00Z</dcterms:modified>
  <revision>40</revision>
  <dc:title>無線電頻率使用費收費標準第二條、第五條之一、附錄二、附錄三、附件五修正草案總說明</dc:title>
</coreProperties>
</file>