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E9" w:rsidRDefault="001A0CE9" w:rsidP="001A0CE9">
      <w:pPr>
        <w:pStyle w:val="Standard"/>
        <w:snapToGrid w:val="0"/>
        <w:spacing w:before="240" w:after="240"/>
        <w:jc w:val="center"/>
      </w:pPr>
      <w:r>
        <w:rPr>
          <w:rFonts w:ascii="標楷體" w:eastAsia="標楷體" w:hAnsi="標楷體" w:cs="標楷體"/>
          <w:sz w:val="40"/>
          <w:szCs w:val="40"/>
        </w:rPr>
        <w:t>國家通訊傳播委員會處理系統經營者與頻道供應事業爭議調處原則第三點、第四點、第五點修正總說明</w:t>
      </w:r>
    </w:p>
    <w:p w:rsidR="001A0CE9" w:rsidRDefault="001A0CE9" w:rsidP="001A0CE9">
      <w:pPr>
        <w:pStyle w:val="Standard"/>
        <w:snapToGrid w:val="0"/>
        <w:spacing w:before="240" w:after="240"/>
        <w:jc w:val="both"/>
      </w:pPr>
      <w:r>
        <w:rPr>
          <w:rFonts w:ascii="標楷體" w:eastAsia="標楷體" w:hAnsi="標楷體" w:cs="標楷體"/>
          <w:sz w:val="32"/>
          <w:szCs w:val="32"/>
        </w:rPr>
        <w:t xml:space="preserve">　　</w:t>
      </w:r>
      <w:r>
        <w:rPr>
          <w:rFonts w:ascii="標楷體" w:eastAsia="標楷體" w:hAnsi="標楷體" w:cs="標楷體"/>
          <w:sz w:val="28"/>
          <w:szCs w:val="28"/>
        </w:rPr>
        <w:t>近年來有線電視上下游相關產業面臨外部視訊平</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競爭，營收因電視廣告投放量、系統訂戶數雙雙銳減，產業正值興革之際，未來系統經營者與頻道供應事業之爭議，無論數量或複雜度將更趨繁重。為有效配置調處資源，靈活因應後匯流時代產業變革，</w:t>
      </w:r>
      <w:proofErr w:type="gramStart"/>
      <w:r>
        <w:rPr>
          <w:rFonts w:ascii="標楷體" w:eastAsia="標楷體" w:hAnsi="標楷體" w:cs="標楷體"/>
          <w:sz w:val="28"/>
          <w:szCs w:val="28"/>
        </w:rPr>
        <w:t>爰</w:t>
      </w:r>
      <w:proofErr w:type="gramEnd"/>
      <w:r>
        <w:rPr>
          <w:rFonts w:ascii="標楷體" w:eastAsia="標楷體" w:hAnsi="標楷體" w:cs="標楷體"/>
          <w:sz w:val="28"/>
          <w:szCs w:val="28"/>
        </w:rPr>
        <w:t>修正「國家通訊傳播委員會處理系統經營者與頻道供應事業爭議調處原則」，說明如下：</w:t>
      </w:r>
    </w:p>
    <w:p w:rsidR="001A0CE9" w:rsidRDefault="001A0CE9" w:rsidP="001A0CE9">
      <w:pPr>
        <w:pStyle w:val="Standard"/>
        <w:numPr>
          <w:ilvl w:val="0"/>
          <w:numId w:val="1"/>
        </w:numPr>
        <w:snapToGrid w:val="0"/>
        <w:spacing w:before="240" w:after="240"/>
        <w:jc w:val="both"/>
        <w:rPr>
          <w:rFonts w:ascii="標楷體" w:eastAsia="標楷體" w:hAnsi="標楷體" w:cs="標楷體"/>
          <w:sz w:val="28"/>
          <w:szCs w:val="28"/>
        </w:rPr>
      </w:pPr>
      <w:r>
        <w:rPr>
          <w:rFonts w:ascii="標楷體" w:eastAsia="標楷體" w:hAnsi="標楷體" w:cs="標楷體"/>
          <w:sz w:val="28"/>
          <w:szCs w:val="28"/>
        </w:rPr>
        <w:t>訂定調處案件案號編訂原則。（第三點）</w:t>
      </w:r>
    </w:p>
    <w:p w:rsidR="001A0CE9" w:rsidRDefault="001A0CE9" w:rsidP="001A0CE9">
      <w:pPr>
        <w:pStyle w:val="Standard"/>
        <w:numPr>
          <w:ilvl w:val="0"/>
          <w:numId w:val="1"/>
        </w:numPr>
        <w:snapToGrid w:val="0"/>
        <w:spacing w:before="240" w:after="240"/>
        <w:jc w:val="both"/>
        <w:rPr>
          <w:rFonts w:ascii="標楷體" w:eastAsia="標楷體" w:hAnsi="標楷體" w:cs="標楷體"/>
          <w:sz w:val="28"/>
          <w:szCs w:val="28"/>
        </w:rPr>
      </w:pPr>
      <w:r>
        <w:rPr>
          <w:rFonts w:ascii="標楷體" w:eastAsia="標楷體" w:hAnsi="標楷體" w:cs="標楷體"/>
          <w:sz w:val="28"/>
          <w:szCs w:val="28"/>
        </w:rPr>
        <w:t>調處委員及協同調處委員形成方式。（第四點）</w:t>
      </w:r>
    </w:p>
    <w:p w:rsidR="001A0CE9" w:rsidRDefault="001A0CE9" w:rsidP="001A0CE9">
      <w:pPr>
        <w:pStyle w:val="Standard"/>
        <w:numPr>
          <w:ilvl w:val="0"/>
          <w:numId w:val="1"/>
        </w:numPr>
        <w:snapToGrid w:val="0"/>
        <w:spacing w:before="240" w:after="240"/>
        <w:jc w:val="both"/>
        <w:rPr>
          <w:rFonts w:ascii="標楷體" w:eastAsia="標楷體" w:hAnsi="標楷體" w:cs="標楷體"/>
          <w:sz w:val="28"/>
          <w:szCs w:val="28"/>
        </w:rPr>
      </w:pPr>
      <w:r>
        <w:rPr>
          <w:rFonts w:ascii="標楷體" w:eastAsia="標楷體" w:hAnsi="標楷體" w:cs="標楷體"/>
          <w:sz w:val="28"/>
          <w:szCs w:val="28"/>
        </w:rPr>
        <w:t>訂定調處會議主席形成及開議人數規定。(第五點)</w:t>
      </w:r>
    </w:p>
    <w:p w:rsidR="00DD6814" w:rsidRDefault="00DD6814">
      <w:bookmarkStart w:id="0" w:name="_GoBack"/>
      <w:bookmarkEnd w:id="0"/>
    </w:p>
    <w:sectPr w:rsidR="00DD681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11CDA"/>
    <w:multiLevelType w:val="multilevel"/>
    <w:tmpl w:val="3AE23F70"/>
    <w:lvl w:ilvl="0">
      <w:start w:val="1"/>
      <w:numFmt w:val="taiwaneseCountingThousand"/>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E9"/>
    <w:rsid w:val="001A0CE9"/>
    <w:rsid w:val="00DD6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5C4DD-D503-4FC2-AE11-25305741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A0CE9"/>
    <w:pPr>
      <w:widowControl w:val="0"/>
      <w:suppressAutoHyphens/>
      <w:autoSpaceDN w:val="0"/>
      <w:textAlignment w:val="baseline"/>
    </w:pPr>
    <w:rPr>
      <w:rFonts w:ascii="Times New Roman" w:eastAsia="新細明體, PMingLiU"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李文中(平臺)</dc:creator>
  <cp:keywords/>
  <dc:description/>
  <cp:lastModifiedBy>李文中(平臺)</cp:lastModifiedBy>
  <cp:revision>1</cp:revision>
  <dcterms:created xsi:type="dcterms:W3CDTF">2018-03-09T01:17:00Z</dcterms:created>
  <dcterms:modified xsi:type="dcterms:W3CDTF">2018-03-09T01:17:00Z</dcterms:modified>
</cp:coreProperties>
</file>