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03" w:rsidRDefault="0086523E">
      <w:pPr>
        <w:pStyle w:val="Standard"/>
        <w:pageBreakBefore/>
        <w:autoSpaceDE w:val="0"/>
        <w:ind w:hanging="11"/>
        <w:jc w:val="center"/>
        <w:rPr>
          <w:rFonts w:eastAsia="標楷體"/>
          <w:b/>
          <w:spacing w:val="-40"/>
          <w:w w:val="97"/>
          <w:sz w:val="40"/>
          <w:szCs w:val="40"/>
        </w:rPr>
      </w:pPr>
      <w:bookmarkStart w:id="0" w:name="_GoBack"/>
      <w:bookmarkEnd w:id="0"/>
      <w:r>
        <w:rPr>
          <w:rFonts w:eastAsia="標楷體"/>
          <w:b/>
          <w:spacing w:val="-40"/>
          <w:w w:val="97"/>
          <w:sz w:val="40"/>
          <w:szCs w:val="40"/>
        </w:rPr>
        <w:t>電臺免設置許可之項目第六點修正對照表</w:t>
      </w:r>
    </w:p>
    <w:tbl>
      <w:tblPr>
        <w:tblW w:w="89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9"/>
        <w:gridCol w:w="2989"/>
        <w:gridCol w:w="2948"/>
      </w:tblGrid>
      <w:tr w:rsidR="00774D03">
        <w:trPr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4D03" w:rsidRDefault="0086523E">
            <w:pPr>
              <w:pStyle w:val="Standard"/>
              <w:overflowPunct w:val="0"/>
              <w:autoSpaceDE w:val="0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修正規定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4D03" w:rsidRDefault="0086523E">
            <w:pPr>
              <w:pStyle w:val="Standard"/>
              <w:overflowPunct w:val="0"/>
              <w:autoSpaceDE w:val="0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現行規定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4D03" w:rsidRDefault="0086523E">
            <w:pPr>
              <w:pStyle w:val="Standard"/>
              <w:overflowPunct w:val="0"/>
              <w:autoSpaceDE w:val="0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說明</w:t>
            </w:r>
          </w:p>
        </w:tc>
      </w:tr>
      <w:tr w:rsidR="00774D03">
        <w:trPr>
          <w:trHeight w:val="11268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4D03" w:rsidRDefault="0086523E">
            <w:pPr>
              <w:pStyle w:val="Standard"/>
              <w:overflowPunct w:val="0"/>
              <w:autoSpaceDE w:val="0"/>
              <w:ind w:left="370" w:hanging="480"/>
              <w:jc w:val="both"/>
            </w:pPr>
            <w:r>
              <w:rPr>
                <w:rFonts w:ascii="標楷體" w:eastAsia="標楷體" w:hAnsi="標楷體" w:cs="標楷體"/>
              </w:rPr>
              <w:t>六</w:t>
            </w:r>
            <w:bookmarkStart w:id="1" w:name="OLE_LINK1"/>
            <w:r>
              <w:rPr>
                <w:rFonts w:ascii="標楷體" w:eastAsia="標楷體" w:hAnsi="標楷體" w:cs="標楷體"/>
              </w:rPr>
              <w:t>、</w:t>
            </w:r>
            <w:bookmarkEnd w:id="1"/>
            <w:r>
              <w:rPr>
                <w:rFonts w:ascii="標楷體" w:eastAsia="標楷體" w:hAnsi="標楷體" w:cs="標楷體"/>
              </w:rPr>
              <w:t>供民生公用事業設置</w:t>
            </w:r>
            <w:proofErr w:type="gramStart"/>
            <w:r>
              <w:rPr>
                <w:rFonts w:ascii="標楷體" w:eastAsia="標楷體" w:hAnsi="標楷體" w:cs="標楷體"/>
              </w:rPr>
              <w:t>智慧讀表系統</w:t>
            </w:r>
            <w:proofErr w:type="gramEnd"/>
            <w:r>
              <w:rPr>
                <w:rFonts w:ascii="標楷體" w:eastAsia="標楷體" w:hAnsi="標楷體" w:cs="標楷體"/>
              </w:rPr>
              <w:t>使用，經主管機關型式認證或核准之</w:t>
            </w:r>
            <w:proofErr w:type="gramStart"/>
            <w:r>
              <w:rPr>
                <w:rFonts w:ascii="標楷體" w:eastAsia="標楷體" w:hAnsi="標楷體" w:cs="標楷體"/>
              </w:rPr>
              <w:t>表端射</w:t>
            </w:r>
            <w:proofErr w:type="gramEnd"/>
            <w:r>
              <w:rPr>
                <w:rFonts w:ascii="標楷體" w:eastAsia="標楷體" w:hAnsi="標楷體" w:cs="標楷體"/>
              </w:rPr>
              <w:t>頻器材或模組；其天線不可與機體分離或外接，且使用專用頻率及最大射頻輸出功率在一瓦特(1W)以下者。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4D03" w:rsidRDefault="00774D03">
            <w:pPr>
              <w:pStyle w:val="Standard"/>
              <w:overflowPunct w:val="0"/>
              <w:autoSpaceDE w:val="0"/>
              <w:ind w:left="458" w:hanging="48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4D03" w:rsidRDefault="0086523E">
            <w:pPr>
              <w:pStyle w:val="Standard"/>
              <w:numPr>
                <w:ilvl w:val="0"/>
                <w:numId w:val="3"/>
              </w:numPr>
              <w:overflowPunct w:val="0"/>
              <w:autoSpaceDE w:val="0"/>
              <w:jc w:val="both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u w:val="single"/>
              </w:rPr>
              <w:t>本點新增。</w:t>
            </w:r>
          </w:p>
          <w:p w:rsidR="00774D03" w:rsidRDefault="0086523E">
            <w:pPr>
              <w:pStyle w:val="Standard"/>
              <w:numPr>
                <w:ilvl w:val="0"/>
                <w:numId w:val="3"/>
              </w:numPr>
              <w:overflowPunct w:val="0"/>
              <w:autoSpaceDE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明定民生公用事業(如自來水、電力及瓦斯事業等)設置智慧</w:t>
            </w:r>
            <w:proofErr w:type="gramStart"/>
            <w:r>
              <w:rPr>
                <w:rFonts w:ascii="標楷體" w:eastAsia="標楷體" w:hAnsi="標楷體" w:cs="標楷體"/>
              </w:rPr>
              <w:t>讀表系統表端射</w:t>
            </w:r>
            <w:proofErr w:type="gramEnd"/>
            <w:r>
              <w:rPr>
                <w:rFonts w:ascii="標楷體" w:eastAsia="標楷體" w:hAnsi="標楷體" w:cs="標楷體"/>
              </w:rPr>
              <w:t>頻設備之免電臺設置許可條件。</w:t>
            </w:r>
          </w:p>
          <w:p w:rsidR="00774D03" w:rsidRDefault="0086523E">
            <w:pPr>
              <w:pStyle w:val="Standard"/>
              <w:numPr>
                <w:ilvl w:val="0"/>
                <w:numId w:val="3"/>
              </w:numPr>
              <w:overflowPunct w:val="0"/>
              <w:autoSpaceDE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所稱專用頻率，目前係指839-847 MHz；未來依中華民國無線電頻率分配表之最新修正規定，再考慮</w:t>
            </w:r>
            <w:proofErr w:type="gramStart"/>
            <w:r>
              <w:rPr>
                <w:rFonts w:ascii="標楷體" w:eastAsia="標楷體" w:hAnsi="標楷體" w:cs="標楷體"/>
              </w:rPr>
              <w:t>調增可供</w:t>
            </w:r>
            <w:proofErr w:type="gramEnd"/>
            <w:r>
              <w:rPr>
                <w:rFonts w:ascii="標楷體" w:eastAsia="標楷體" w:hAnsi="標楷體" w:cs="標楷體"/>
              </w:rPr>
              <w:t>民生公用事業</w:t>
            </w:r>
            <w:proofErr w:type="gramStart"/>
            <w:r>
              <w:rPr>
                <w:rFonts w:ascii="標楷體" w:eastAsia="標楷體" w:hAnsi="標楷體" w:cs="標楷體"/>
              </w:rPr>
              <w:t>智慧讀表系統</w:t>
            </w:r>
            <w:proofErr w:type="gramEnd"/>
            <w:r>
              <w:rPr>
                <w:rFonts w:ascii="標楷體" w:eastAsia="標楷體" w:hAnsi="標楷體" w:cs="標楷體"/>
              </w:rPr>
              <w:t>使用頻率之可行性及必要性。</w:t>
            </w:r>
          </w:p>
        </w:tc>
      </w:tr>
    </w:tbl>
    <w:p w:rsidR="00774D03" w:rsidRDefault="00774D03">
      <w:pPr>
        <w:pStyle w:val="Standard"/>
        <w:autoSpaceDE w:val="0"/>
        <w:spacing w:line="460" w:lineRule="exact"/>
        <w:jc w:val="center"/>
        <w:rPr>
          <w:rFonts w:ascii="標楷體" w:eastAsia="標楷體" w:hAnsi="標楷體" w:cs="標楷體"/>
          <w:sz w:val="28"/>
          <w:szCs w:val="28"/>
        </w:rPr>
      </w:pPr>
    </w:p>
    <w:sectPr w:rsidR="00774D03">
      <w:footerReference w:type="default" r:id="rId7"/>
      <w:pgSz w:w="11906" w:h="16838"/>
      <w:pgMar w:top="1418" w:right="1418" w:bottom="1220" w:left="1701" w:header="720" w:footer="794" w:gutter="0"/>
      <w:cols w:space="720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73E" w:rsidRDefault="00EB273E">
      <w:r>
        <w:separator/>
      </w:r>
    </w:p>
  </w:endnote>
  <w:endnote w:type="continuationSeparator" w:id="0">
    <w:p w:rsidR="00EB273E" w:rsidRDefault="00EB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, 標楷體">
    <w:charset w:val="00"/>
    <w:family w:val="script"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, MingLiU">
    <w:charset w:val="00"/>
    <w:family w:val="modern"/>
    <w:pitch w:val="default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2A" w:rsidRDefault="0086523E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D821E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73E" w:rsidRDefault="00EB273E">
      <w:r>
        <w:rPr>
          <w:color w:val="000000"/>
        </w:rPr>
        <w:separator/>
      </w:r>
    </w:p>
  </w:footnote>
  <w:footnote w:type="continuationSeparator" w:id="0">
    <w:p w:rsidR="00EB273E" w:rsidRDefault="00EB2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E6CB0"/>
    <w:multiLevelType w:val="multilevel"/>
    <w:tmpl w:val="E008106C"/>
    <w:styleLink w:val="WW8Num4"/>
    <w:lvl w:ilvl="0">
      <w:start w:val="1"/>
      <w:numFmt w:val="japaneseCounting"/>
      <w:lvlText w:val="%1、"/>
      <w:lvlJc w:val="left"/>
      <w:pPr>
        <w:ind w:left="708" w:hanging="720"/>
      </w:pPr>
    </w:lvl>
    <w:lvl w:ilvl="1">
      <w:start w:val="1"/>
      <w:numFmt w:val="ideographTraditional"/>
      <w:lvlText w:val="%2、"/>
      <w:lvlJc w:val="left"/>
      <w:pPr>
        <w:ind w:left="948" w:hanging="480"/>
      </w:pPr>
    </w:lvl>
    <w:lvl w:ilvl="2">
      <w:start w:val="1"/>
      <w:numFmt w:val="lowerRoman"/>
      <w:lvlText w:val="%3."/>
      <w:lvlJc w:val="right"/>
      <w:pPr>
        <w:ind w:left="1428" w:hanging="480"/>
      </w:pPr>
    </w:lvl>
    <w:lvl w:ilvl="3">
      <w:start w:val="1"/>
      <w:numFmt w:val="decimal"/>
      <w:lvlText w:val="%4."/>
      <w:lvlJc w:val="left"/>
      <w:pPr>
        <w:ind w:left="1908" w:hanging="480"/>
      </w:pPr>
    </w:lvl>
    <w:lvl w:ilvl="4">
      <w:start w:val="1"/>
      <w:numFmt w:val="ideographTraditional"/>
      <w:lvlText w:val="%5、"/>
      <w:lvlJc w:val="left"/>
      <w:pPr>
        <w:ind w:left="2388" w:hanging="480"/>
      </w:pPr>
    </w:lvl>
    <w:lvl w:ilvl="5">
      <w:start w:val="1"/>
      <w:numFmt w:val="lowerRoman"/>
      <w:lvlText w:val="%6."/>
      <w:lvlJc w:val="right"/>
      <w:pPr>
        <w:ind w:left="2868" w:hanging="480"/>
      </w:pPr>
    </w:lvl>
    <w:lvl w:ilvl="6">
      <w:start w:val="1"/>
      <w:numFmt w:val="decimal"/>
      <w:lvlText w:val="%7."/>
      <w:lvlJc w:val="left"/>
      <w:pPr>
        <w:ind w:left="3348" w:hanging="480"/>
      </w:pPr>
    </w:lvl>
    <w:lvl w:ilvl="7">
      <w:start w:val="1"/>
      <w:numFmt w:val="ideographTraditional"/>
      <w:lvlText w:val="%8、"/>
      <w:lvlJc w:val="left"/>
      <w:pPr>
        <w:ind w:left="3828" w:hanging="480"/>
      </w:pPr>
    </w:lvl>
    <w:lvl w:ilvl="8">
      <w:start w:val="1"/>
      <w:numFmt w:val="lowerRoman"/>
      <w:lvlText w:val="%9."/>
      <w:lvlJc w:val="right"/>
      <w:pPr>
        <w:ind w:left="4308" w:hanging="480"/>
      </w:pPr>
    </w:lvl>
  </w:abstractNum>
  <w:abstractNum w:abstractNumId="1" w15:restartNumberingAfterBreak="0">
    <w:nsid w:val="2BF76E2D"/>
    <w:multiLevelType w:val="multilevel"/>
    <w:tmpl w:val="E9D65B9A"/>
    <w:styleLink w:val="WW8Num5"/>
    <w:lvl w:ilvl="0">
      <w:start w:val="1"/>
      <w:numFmt w:val="japaneseCounting"/>
      <w:lvlText w:val="%1、"/>
      <w:lvlJc w:val="left"/>
      <w:pPr>
        <w:ind w:left="463" w:hanging="528"/>
      </w:pPr>
      <w:rPr>
        <w:rFonts w:ascii="標楷體" w:eastAsia="標楷體" w:hAnsi="標楷體" w:cs="標楷體"/>
        <w:lang w:val="en-US"/>
      </w:rPr>
    </w:lvl>
    <w:lvl w:ilvl="1">
      <w:start w:val="1"/>
      <w:numFmt w:val="ideographTraditional"/>
      <w:lvlText w:val="%2、"/>
      <w:lvlJc w:val="left"/>
      <w:pPr>
        <w:ind w:left="895" w:hanging="480"/>
      </w:pPr>
    </w:lvl>
    <w:lvl w:ilvl="2">
      <w:start w:val="1"/>
      <w:numFmt w:val="lowerRoman"/>
      <w:lvlText w:val="%3."/>
      <w:lvlJc w:val="right"/>
      <w:pPr>
        <w:ind w:left="1375" w:hanging="480"/>
      </w:pPr>
    </w:lvl>
    <w:lvl w:ilvl="3">
      <w:start w:val="1"/>
      <w:numFmt w:val="decimal"/>
      <w:lvlText w:val="%4."/>
      <w:lvlJc w:val="left"/>
      <w:pPr>
        <w:ind w:left="1855" w:hanging="480"/>
      </w:pPr>
    </w:lvl>
    <w:lvl w:ilvl="4">
      <w:start w:val="1"/>
      <w:numFmt w:val="ideographTraditional"/>
      <w:lvlText w:val="%5、"/>
      <w:lvlJc w:val="left"/>
      <w:pPr>
        <w:ind w:left="2335" w:hanging="480"/>
      </w:pPr>
    </w:lvl>
    <w:lvl w:ilvl="5">
      <w:start w:val="1"/>
      <w:numFmt w:val="lowerRoman"/>
      <w:lvlText w:val="%6."/>
      <w:lvlJc w:val="right"/>
      <w:pPr>
        <w:ind w:left="2815" w:hanging="480"/>
      </w:pPr>
    </w:lvl>
    <w:lvl w:ilvl="6">
      <w:start w:val="1"/>
      <w:numFmt w:val="decimal"/>
      <w:lvlText w:val="%7."/>
      <w:lvlJc w:val="left"/>
      <w:pPr>
        <w:ind w:left="3295" w:hanging="480"/>
      </w:pPr>
    </w:lvl>
    <w:lvl w:ilvl="7">
      <w:start w:val="1"/>
      <w:numFmt w:val="ideographTraditional"/>
      <w:lvlText w:val="%8、"/>
      <w:lvlJc w:val="left"/>
      <w:pPr>
        <w:ind w:left="3775" w:hanging="480"/>
      </w:pPr>
    </w:lvl>
    <w:lvl w:ilvl="8">
      <w:start w:val="1"/>
      <w:numFmt w:val="lowerRoman"/>
      <w:lvlText w:val="%9."/>
      <w:lvlJc w:val="right"/>
      <w:pPr>
        <w:ind w:left="4255" w:hanging="480"/>
      </w:pPr>
    </w:lvl>
  </w:abstractNum>
  <w:abstractNum w:abstractNumId="2" w15:restartNumberingAfterBreak="0">
    <w:nsid w:val="49197C26"/>
    <w:multiLevelType w:val="multilevel"/>
    <w:tmpl w:val="FF342498"/>
    <w:styleLink w:val="WW8Num3"/>
    <w:lvl w:ilvl="0">
      <w:start w:val="1"/>
      <w:numFmt w:val="japaneseCounting"/>
      <w:lvlText w:val="%1、"/>
      <w:lvlJc w:val="left"/>
      <w:pPr>
        <w:ind w:left="454" w:hanging="528"/>
      </w:pPr>
      <w:rPr>
        <w:rFonts w:ascii="Times New Roman" w:eastAsia="標楷體" w:hAnsi="Times New Roman" w:cs="標楷體"/>
      </w:rPr>
    </w:lvl>
    <w:lvl w:ilvl="1">
      <w:start w:val="1"/>
      <w:numFmt w:val="ideographTraditional"/>
      <w:lvlText w:val="%2、"/>
      <w:lvlJc w:val="left"/>
      <w:pPr>
        <w:ind w:left="886" w:hanging="480"/>
      </w:pPr>
    </w:lvl>
    <w:lvl w:ilvl="2">
      <w:start w:val="1"/>
      <w:numFmt w:val="lowerRoman"/>
      <w:lvlText w:val="%3."/>
      <w:lvlJc w:val="right"/>
      <w:pPr>
        <w:ind w:left="1366" w:hanging="480"/>
      </w:pPr>
    </w:lvl>
    <w:lvl w:ilvl="3">
      <w:start w:val="1"/>
      <w:numFmt w:val="decimal"/>
      <w:lvlText w:val="%4."/>
      <w:lvlJc w:val="left"/>
      <w:pPr>
        <w:ind w:left="1846" w:hanging="480"/>
      </w:pPr>
    </w:lvl>
    <w:lvl w:ilvl="4">
      <w:start w:val="1"/>
      <w:numFmt w:val="ideographTraditional"/>
      <w:lvlText w:val="%5、"/>
      <w:lvlJc w:val="left"/>
      <w:pPr>
        <w:ind w:left="2326" w:hanging="480"/>
      </w:pPr>
    </w:lvl>
    <w:lvl w:ilvl="5">
      <w:start w:val="1"/>
      <w:numFmt w:val="lowerRoman"/>
      <w:lvlText w:val="%6."/>
      <w:lvlJc w:val="right"/>
      <w:pPr>
        <w:ind w:left="2806" w:hanging="480"/>
      </w:pPr>
    </w:lvl>
    <w:lvl w:ilvl="6">
      <w:start w:val="1"/>
      <w:numFmt w:val="decimal"/>
      <w:lvlText w:val="%7."/>
      <w:lvlJc w:val="left"/>
      <w:pPr>
        <w:ind w:left="3286" w:hanging="480"/>
      </w:pPr>
    </w:lvl>
    <w:lvl w:ilvl="7">
      <w:start w:val="1"/>
      <w:numFmt w:val="ideographTraditional"/>
      <w:lvlText w:val="%8、"/>
      <w:lvlJc w:val="left"/>
      <w:pPr>
        <w:ind w:left="3766" w:hanging="480"/>
      </w:pPr>
    </w:lvl>
    <w:lvl w:ilvl="8">
      <w:start w:val="1"/>
      <w:numFmt w:val="lowerRoman"/>
      <w:lvlText w:val="%9."/>
      <w:lvlJc w:val="right"/>
      <w:pPr>
        <w:ind w:left="4246" w:hanging="480"/>
      </w:pPr>
    </w:lvl>
  </w:abstractNum>
  <w:abstractNum w:abstractNumId="3" w15:restartNumberingAfterBreak="0">
    <w:nsid w:val="4A740214"/>
    <w:multiLevelType w:val="multilevel"/>
    <w:tmpl w:val="D1FC688E"/>
    <w:styleLink w:val="WW8Num2"/>
    <w:lvl w:ilvl="0">
      <w:start w:val="1"/>
      <w:numFmt w:val="japaneseCounting"/>
      <w:lvlText w:val="%1、"/>
      <w:lvlJc w:val="left"/>
      <w:pPr>
        <w:ind w:left="720" w:hanging="720"/>
      </w:pPr>
      <w:rPr>
        <w:rFonts w:ascii="Times New Roman" w:hAnsi="Times New Roman" w:cs="Times New Roman"/>
      </w:rPr>
    </w:lvl>
    <w:lvl w:ilvl="1">
      <w:start w:val="1"/>
      <w:numFmt w:val="japaneseCounting"/>
      <w:lvlText w:val="(%2)"/>
      <w:lvlJc w:val="left"/>
      <w:pPr>
        <w:ind w:left="945" w:hanging="465"/>
      </w:pPr>
      <w:rPr>
        <w:sz w:val="28"/>
        <w:szCs w:val="28"/>
      </w:rPr>
    </w:lvl>
    <w:lvl w:ilvl="2">
      <w:start w:val="1"/>
      <w:numFmt w:val="decimal"/>
      <w:lvlText w:val="%3、"/>
      <w:lvlJc w:val="left"/>
      <w:pPr>
        <w:ind w:left="1680" w:hanging="720"/>
      </w:pPr>
    </w:lvl>
    <w:lvl w:ilvl="3">
      <w:start w:val="1"/>
      <w:numFmt w:val="decimal"/>
      <w:lvlText w:val="(%4)"/>
      <w:lvlJc w:val="left"/>
      <w:pPr>
        <w:ind w:left="2160" w:hanging="72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24511E"/>
    <w:multiLevelType w:val="multilevel"/>
    <w:tmpl w:val="639A5F82"/>
    <w:styleLink w:val="WW8Num1"/>
    <w:lvl w:ilvl="0">
      <w:start w:val="1"/>
      <w:numFmt w:val="japaneseCounting"/>
      <w:lvlText w:val="%1、"/>
      <w:lvlJc w:val="left"/>
      <w:pPr>
        <w:ind w:left="720" w:hanging="720"/>
      </w:pPr>
      <w:rPr>
        <w:rFonts w:cs="華康楷書體W5, 標楷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03"/>
    <w:rsid w:val="00774D03"/>
    <w:rsid w:val="0086523E"/>
    <w:rsid w:val="00885740"/>
    <w:rsid w:val="00D821EA"/>
    <w:rsid w:val="00EB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CD4094-8C92-4F7F-8D58-E9D52E24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customStyle="1" w:styleId="a8">
    <w:name w:val="主旨"/>
    <w:basedOn w:val="Standard"/>
    <w:pPr>
      <w:widowControl/>
      <w:snapToGrid w:val="0"/>
      <w:spacing w:line="500" w:lineRule="exact"/>
      <w:jc w:val="both"/>
    </w:pPr>
    <w:rPr>
      <w:rFonts w:eastAsia="標楷體"/>
      <w:sz w:val="32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cs="華康楷書體W5, 標楷體"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sz w:val="28"/>
      <w:szCs w:val="28"/>
    </w:rPr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標楷體" w:hAnsi="Times New Roman" w:cs="標楷體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標楷體"/>
      <w:lang w:val="en-US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styleId="HTML0">
    <w:name w:val="HTML Typewriter"/>
    <w:rPr>
      <w:rFonts w:ascii="Arial Unicode MS" w:eastAsia="Arial Unicode MS" w:hAnsi="Arial Unicode MS" w:cs="華康楷書體W5, 標楷體"/>
      <w:sz w:val="24"/>
      <w:szCs w:val="24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customStyle="1" w:styleId="ab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HTML1">
    <w:name w:val="HTML 預設格式 字元"/>
    <w:rPr>
      <w:rFonts w:ascii="細明體, MingLiU" w:eastAsia="細明體, MingLiU" w:hAnsi="細明體, MingLiU" w:cs="細明體, MingLiU"/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國家通訊傳播委員會委託研究計畫作業要點</dc:title>
  <dc:creator>綜合企劃處綜合業務科黃瑜瑛</dc:creator>
  <cp:lastModifiedBy>包家禎(資源)</cp:lastModifiedBy>
  <cp:revision>4</cp:revision>
  <cp:lastPrinted>2011-03-04T11:37:00Z</cp:lastPrinted>
  <dcterms:created xsi:type="dcterms:W3CDTF">2018-07-27T02:00:00Z</dcterms:created>
  <dcterms:modified xsi:type="dcterms:W3CDTF">2018-07-30T00:53:00Z</dcterms:modified>
</cp:coreProperties>
</file>