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77" w:rsidRDefault="00F73C30">
      <w:pPr>
        <w:pStyle w:val="Textbody"/>
        <w:jc w:val="center"/>
      </w:pPr>
      <w:r>
        <w:rPr>
          <w:rFonts w:ascii="Times New Roman" w:eastAsia="標楷體" w:hAnsi="Times New Roman"/>
          <w:sz w:val="32"/>
          <w:szCs w:val="32"/>
        </w:rPr>
        <w:t>電臺免設置許可之項目</w:t>
      </w:r>
    </w:p>
    <w:p w:rsidR="00CC3F77" w:rsidRDefault="00F73C30">
      <w:pPr>
        <w:pStyle w:val="Textbody"/>
        <w:widowControl/>
        <w:tabs>
          <w:tab w:val="left" w:pos="9160"/>
          <w:tab w:val="left" w:pos="10076"/>
          <w:tab w:val="left" w:pos="10992"/>
          <w:tab w:val="left" w:pos="11908"/>
          <w:tab w:val="left" w:pos="12824"/>
          <w:tab w:val="left" w:pos="13740"/>
          <w:tab w:val="left" w:pos="14656"/>
        </w:tabs>
        <w:suppressAutoHyphens w:val="0"/>
        <w:spacing w:line="315" w:lineRule="atLeast"/>
        <w:ind w:left="1417" w:hanging="200"/>
        <w:textAlignment w:val="auto"/>
        <w:rPr>
          <w:rFonts w:ascii="標楷體" w:eastAsia="標楷體" w:hAnsi="標楷體" w:cs="細明體"/>
          <w:color w:val="000000"/>
          <w:kern w:val="0"/>
          <w:sz w:val="20"/>
          <w:szCs w:val="20"/>
        </w:rPr>
      </w:pPr>
      <w:r>
        <w:rPr>
          <w:rFonts w:ascii="標楷體" w:eastAsia="標楷體" w:hAnsi="標楷體" w:cs="細明體"/>
          <w:color w:val="000000"/>
          <w:kern w:val="0"/>
          <w:sz w:val="20"/>
          <w:szCs w:val="20"/>
        </w:rPr>
        <w:t>1.中華民國一百年十月二十一日國家通訊傳播委員會通傳技字第10043029170號公告修正全文9點</w:t>
      </w:r>
    </w:p>
    <w:p w:rsidR="00CC3F77" w:rsidRDefault="00F73C30">
      <w:pPr>
        <w:pStyle w:val="Textbody"/>
        <w:widowControl/>
        <w:tabs>
          <w:tab w:val="left" w:pos="9160"/>
          <w:tab w:val="left" w:pos="10076"/>
          <w:tab w:val="left" w:pos="10992"/>
          <w:tab w:val="left" w:pos="11908"/>
          <w:tab w:val="left" w:pos="12824"/>
          <w:tab w:val="left" w:pos="13740"/>
          <w:tab w:val="left" w:pos="14656"/>
        </w:tabs>
        <w:suppressAutoHyphens w:val="0"/>
        <w:spacing w:line="315" w:lineRule="atLeast"/>
        <w:ind w:left="1417" w:hanging="200"/>
        <w:textAlignment w:val="auto"/>
        <w:rPr>
          <w:rFonts w:ascii="標楷體" w:eastAsia="標楷體" w:hAnsi="標楷體" w:cs="細明體"/>
          <w:color w:val="000000"/>
          <w:kern w:val="0"/>
          <w:sz w:val="20"/>
          <w:szCs w:val="20"/>
        </w:rPr>
      </w:pPr>
      <w:r>
        <w:rPr>
          <w:rFonts w:ascii="標楷體" w:eastAsia="標楷體" w:hAnsi="標楷體" w:cs="細明體"/>
          <w:color w:val="000000"/>
          <w:kern w:val="0"/>
          <w:sz w:val="20"/>
          <w:szCs w:val="20"/>
        </w:rPr>
        <w:t>2.中華民國一百零五年七月十二日國家通訊傳播委員會通傳資源字第10543013860號公告修正全文5點</w:t>
      </w:r>
    </w:p>
    <w:p w:rsidR="00CC3F77" w:rsidRDefault="00F73C30">
      <w:pPr>
        <w:pStyle w:val="Textbody"/>
        <w:widowControl/>
        <w:tabs>
          <w:tab w:val="left" w:pos="9160"/>
          <w:tab w:val="left" w:pos="10076"/>
          <w:tab w:val="left" w:pos="10992"/>
          <w:tab w:val="left" w:pos="11908"/>
          <w:tab w:val="left" w:pos="12824"/>
          <w:tab w:val="left" w:pos="13740"/>
          <w:tab w:val="left" w:pos="14656"/>
        </w:tabs>
        <w:suppressAutoHyphens w:val="0"/>
        <w:spacing w:line="315" w:lineRule="atLeast"/>
        <w:ind w:left="1417" w:hanging="200"/>
        <w:textAlignment w:val="auto"/>
        <w:rPr>
          <w:rFonts w:ascii="標楷體" w:eastAsia="標楷體" w:hAnsi="標楷體" w:cs="細明體"/>
          <w:color w:val="000000"/>
          <w:kern w:val="0"/>
          <w:sz w:val="20"/>
          <w:szCs w:val="20"/>
        </w:rPr>
      </w:pPr>
      <w:r>
        <w:rPr>
          <w:rFonts w:ascii="標楷體" w:eastAsia="標楷體" w:hAnsi="標楷體" w:cs="細明體"/>
          <w:color w:val="000000"/>
          <w:kern w:val="0"/>
          <w:sz w:val="20"/>
          <w:szCs w:val="20"/>
        </w:rPr>
        <w:t>3.中華民國一百零六年三月十四日國家通訊傳播委員會通傳資源字第10643004520號公告修正第3點條文</w:t>
      </w:r>
    </w:p>
    <w:p w:rsidR="00CC3F77" w:rsidRDefault="00F73C30">
      <w:pPr>
        <w:pStyle w:val="Textbody"/>
        <w:widowControl/>
        <w:tabs>
          <w:tab w:val="left" w:pos="9160"/>
          <w:tab w:val="left" w:pos="10076"/>
          <w:tab w:val="left" w:pos="10992"/>
          <w:tab w:val="left" w:pos="11908"/>
          <w:tab w:val="left" w:pos="12824"/>
          <w:tab w:val="left" w:pos="13740"/>
          <w:tab w:val="left" w:pos="14656"/>
        </w:tabs>
        <w:suppressAutoHyphens w:val="0"/>
        <w:spacing w:line="315" w:lineRule="atLeast"/>
        <w:ind w:left="1417" w:hanging="200"/>
        <w:textAlignment w:val="auto"/>
        <w:rPr>
          <w:rFonts w:ascii="標楷體" w:eastAsia="標楷體" w:hAnsi="標楷體" w:cs="細明體"/>
          <w:color w:val="000000"/>
          <w:kern w:val="0"/>
          <w:sz w:val="20"/>
          <w:szCs w:val="20"/>
        </w:rPr>
      </w:pPr>
      <w:r>
        <w:rPr>
          <w:rFonts w:ascii="標楷體" w:eastAsia="標楷體" w:hAnsi="標楷體" w:cs="細明體"/>
          <w:color w:val="000000"/>
          <w:kern w:val="0"/>
          <w:sz w:val="20"/>
          <w:szCs w:val="20"/>
        </w:rPr>
        <w:t>4.中華民國一百零六年四月十日國家通訊傳播委員會通傳基礎字第10663005050號公告修正第1點條文</w:t>
      </w:r>
    </w:p>
    <w:p w:rsidR="00CC3F77" w:rsidRDefault="00F73C30">
      <w:pPr>
        <w:pStyle w:val="Textbody"/>
        <w:widowControl/>
        <w:tabs>
          <w:tab w:val="left" w:pos="9160"/>
          <w:tab w:val="left" w:pos="10076"/>
          <w:tab w:val="left" w:pos="10992"/>
          <w:tab w:val="left" w:pos="11908"/>
          <w:tab w:val="left" w:pos="12824"/>
          <w:tab w:val="left" w:pos="13740"/>
          <w:tab w:val="left" w:pos="14656"/>
        </w:tabs>
        <w:suppressAutoHyphens w:val="0"/>
        <w:spacing w:line="315" w:lineRule="atLeast"/>
        <w:ind w:left="1417" w:hanging="200"/>
        <w:textAlignment w:val="auto"/>
        <w:rPr>
          <w:rFonts w:ascii="標楷體" w:eastAsia="標楷體" w:hAnsi="標楷體" w:cs="細明體"/>
          <w:color w:val="000000"/>
          <w:kern w:val="0"/>
          <w:sz w:val="20"/>
          <w:szCs w:val="20"/>
        </w:rPr>
      </w:pPr>
      <w:r>
        <w:rPr>
          <w:rFonts w:ascii="標楷體" w:eastAsia="標楷體" w:hAnsi="標楷體" w:cs="細明體"/>
          <w:color w:val="000000"/>
          <w:kern w:val="0"/>
          <w:sz w:val="20"/>
          <w:szCs w:val="20"/>
        </w:rPr>
        <w:t>5.中華民國一百零七年七月二十七日國家通訊傳播委員會通傳資源字第10743016930號公告修正第6點條文</w:t>
      </w:r>
    </w:p>
    <w:p w:rsidR="00CC3F77" w:rsidRDefault="00CC3F77">
      <w:pPr>
        <w:pStyle w:val="Textbody"/>
        <w:ind w:left="1272" w:hanging="480"/>
        <w:rPr>
          <w:rFonts w:ascii="Times New Roman" w:eastAsia="標楷體" w:hAnsi="Times New Roman"/>
          <w:kern w:val="0"/>
          <w:sz w:val="28"/>
          <w:szCs w:val="28"/>
        </w:rPr>
      </w:pPr>
    </w:p>
    <w:p w:rsidR="00CC3F77" w:rsidRDefault="00F73C30">
      <w:pPr>
        <w:pStyle w:val="Textbody"/>
        <w:ind w:left="480" w:hanging="480"/>
        <w:rPr>
          <w:rFonts w:ascii="Times New Roman" w:eastAsia="標楷體" w:hAnsi="Times New Roman"/>
          <w:kern w:val="0"/>
          <w:sz w:val="28"/>
          <w:szCs w:val="28"/>
        </w:rPr>
      </w:pPr>
      <w:r>
        <w:rPr>
          <w:rFonts w:ascii="Times New Roman" w:eastAsia="標楷體" w:hAnsi="Times New Roman"/>
          <w:kern w:val="0"/>
          <w:sz w:val="28"/>
          <w:szCs w:val="28"/>
        </w:rPr>
        <w:t>一、行動通信之無線發射或收發設備：</w:t>
      </w:r>
    </w:p>
    <w:p w:rsidR="00CC3F77" w:rsidRDefault="00F73C30">
      <w:pPr>
        <w:pStyle w:val="Textbody"/>
        <w:ind w:left="480" w:hanging="480"/>
        <w:rPr>
          <w:rFonts w:ascii="標楷體" w:eastAsia="標楷體" w:hAnsi="標楷體" w:cs="標楷體"/>
          <w:kern w:val="0"/>
          <w:sz w:val="28"/>
          <w:szCs w:val="28"/>
          <w:lang w:val="zh-TW"/>
        </w:rPr>
      </w:pPr>
      <w:r>
        <w:rPr>
          <w:rFonts w:ascii="標楷體" w:eastAsia="標楷體" w:hAnsi="標楷體" w:cs="標楷體"/>
          <w:kern w:val="0"/>
          <w:sz w:val="28"/>
          <w:szCs w:val="28"/>
          <w:lang w:val="zh-TW"/>
        </w:rPr>
        <w:t xml:space="preserve">   (一)行動臺。</w:t>
      </w:r>
    </w:p>
    <w:p w:rsidR="00CC3F77" w:rsidRDefault="00F73C30">
      <w:pPr>
        <w:pStyle w:val="Textbody"/>
        <w:ind w:left="840" w:hanging="480"/>
      </w:pPr>
      <w:r>
        <w:rPr>
          <w:rFonts w:ascii="標楷體" w:eastAsia="標楷體" w:hAnsi="標楷體" w:cs="標楷體"/>
          <w:kern w:val="0"/>
          <w:sz w:val="28"/>
          <w:szCs w:val="28"/>
          <w:lang w:val="zh-TW"/>
        </w:rPr>
        <w:t>(二)依法經營行動通信網路業務之事業設置之基地臺其發射機最大射頻輸出功率在一點二六瓦特（1.26W）以下者。</w:t>
      </w:r>
    </w:p>
    <w:p w:rsidR="00CC3F77" w:rsidRDefault="00CC3F77">
      <w:pPr>
        <w:pStyle w:val="Textbody"/>
        <w:ind w:left="480" w:hanging="480"/>
        <w:rPr>
          <w:rFonts w:ascii="Times New Roman" w:eastAsia="標楷體" w:hAnsi="Times New Roman"/>
          <w:sz w:val="28"/>
          <w:szCs w:val="28"/>
        </w:rPr>
      </w:pPr>
    </w:p>
    <w:p w:rsidR="00CC3F77" w:rsidRDefault="00F73C30">
      <w:pPr>
        <w:pStyle w:val="Textbody"/>
        <w:ind w:left="480" w:hanging="480"/>
      </w:pPr>
      <w:r>
        <w:rPr>
          <w:rFonts w:ascii="Times New Roman" w:eastAsia="標楷體" w:hAnsi="Times New Roman"/>
          <w:sz w:val="28"/>
          <w:szCs w:val="28"/>
        </w:rPr>
        <w:t>二、</w:t>
      </w:r>
      <w:r>
        <w:rPr>
          <w:rFonts w:ascii="Times New Roman" w:eastAsia="標楷體" w:hAnsi="Times New Roman"/>
          <w:kern w:val="0"/>
          <w:sz w:val="28"/>
          <w:szCs w:val="28"/>
          <w:lang w:val="zh-TW"/>
        </w:rPr>
        <w:t>固定通信之無線發射或收發設備：</w:t>
      </w:r>
    </w:p>
    <w:p w:rsidR="00CC3F77" w:rsidRDefault="00F73C30">
      <w:pPr>
        <w:pStyle w:val="Textbody"/>
        <w:ind w:left="480" w:hanging="120"/>
        <w:rPr>
          <w:rFonts w:ascii="標楷體" w:eastAsia="標楷體" w:hAnsi="標楷體" w:cs="標楷體"/>
          <w:kern w:val="0"/>
          <w:sz w:val="28"/>
          <w:szCs w:val="28"/>
          <w:lang w:val="zh-TW"/>
        </w:rPr>
      </w:pPr>
      <w:r>
        <w:rPr>
          <w:rFonts w:ascii="標楷體" w:eastAsia="標楷體" w:hAnsi="標楷體" w:cs="標楷體"/>
          <w:kern w:val="0"/>
          <w:sz w:val="28"/>
          <w:szCs w:val="28"/>
          <w:lang w:val="zh-TW"/>
        </w:rPr>
        <w:t>(一)有線電話無線主副機。</w:t>
      </w:r>
    </w:p>
    <w:p w:rsidR="00CC3F77" w:rsidRDefault="00F73C30">
      <w:pPr>
        <w:pStyle w:val="Textbody"/>
        <w:ind w:left="480" w:hanging="120"/>
      </w:pPr>
      <w:r>
        <w:rPr>
          <w:rFonts w:ascii="標楷體" w:eastAsia="標楷體" w:hAnsi="標楷體" w:cs="標楷體"/>
          <w:kern w:val="0"/>
          <w:sz w:val="28"/>
          <w:szCs w:val="28"/>
          <w:lang w:val="zh-TW"/>
        </w:rPr>
        <w:t>(二)57至66 GHz微波電臺。</w:t>
      </w:r>
    </w:p>
    <w:p w:rsidR="00CC3F77" w:rsidRDefault="00CC3F77">
      <w:pPr>
        <w:pStyle w:val="Textbody"/>
        <w:rPr>
          <w:rFonts w:ascii="Times New Roman" w:eastAsia="標楷體" w:hAnsi="Times New Roman"/>
          <w:sz w:val="28"/>
          <w:szCs w:val="28"/>
        </w:rPr>
      </w:pPr>
    </w:p>
    <w:p w:rsidR="00CC3F77" w:rsidRDefault="00F73C30">
      <w:pPr>
        <w:pStyle w:val="Textbody"/>
      </w:pPr>
      <w:r>
        <w:rPr>
          <w:rFonts w:ascii="Times New Roman" w:eastAsia="標楷體" w:hAnsi="Times New Roman"/>
          <w:sz w:val="28"/>
          <w:szCs w:val="28"/>
        </w:rPr>
        <w:t>三、</w:t>
      </w:r>
      <w:r>
        <w:rPr>
          <w:rFonts w:ascii="Times New Roman" w:eastAsia="標楷體" w:hAnsi="Times New Roman"/>
          <w:kern w:val="0"/>
          <w:sz w:val="28"/>
          <w:szCs w:val="28"/>
          <w:lang w:val="zh-TW"/>
        </w:rPr>
        <w:t>衛星通信之無線發射或收發設備：</w:t>
      </w:r>
    </w:p>
    <w:p w:rsidR="00CC3F77" w:rsidRDefault="00F73C30">
      <w:pPr>
        <w:pStyle w:val="Textbody"/>
        <w:ind w:firstLine="360"/>
      </w:pPr>
      <w:r>
        <w:rPr>
          <w:rFonts w:ascii="標楷體" w:eastAsia="標楷體" w:hAnsi="標楷體" w:cs="標楷體"/>
          <w:kern w:val="0"/>
          <w:sz w:val="28"/>
          <w:szCs w:val="28"/>
          <w:lang w:val="zh-TW"/>
        </w:rPr>
        <w:t>(一)衛星通信業務之行動地球電臺。</w:t>
      </w:r>
    </w:p>
    <w:p w:rsidR="00CC3F77" w:rsidRDefault="00F73C30">
      <w:pPr>
        <w:pStyle w:val="Textbody"/>
        <w:ind w:firstLine="360"/>
        <w:rPr>
          <w:rFonts w:ascii="標楷體" w:eastAsia="標楷體" w:hAnsi="標楷體" w:cs="標楷體"/>
          <w:kern w:val="0"/>
          <w:sz w:val="28"/>
          <w:szCs w:val="28"/>
          <w:lang w:val="zh-TW"/>
        </w:rPr>
      </w:pPr>
      <w:r>
        <w:rPr>
          <w:rFonts w:ascii="標楷體" w:eastAsia="標楷體" w:hAnsi="標楷體" w:cs="標楷體"/>
          <w:kern w:val="0"/>
          <w:sz w:val="28"/>
          <w:szCs w:val="28"/>
          <w:lang w:val="zh-TW"/>
        </w:rPr>
        <w:t>(二)衛星通信業務之小型地球電臺。</w:t>
      </w:r>
    </w:p>
    <w:p w:rsidR="00CC3F77" w:rsidRDefault="00F73C30">
      <w:pPr>
        <w:pStyle w:val="Textbody"/>
        <w:ind w:left="920" w:hanging="560"/>
      </w:pPr>
      <w:r>
        <w:rPr>
          <w:rFonts w:ascii="標楷體" w:eastAsia="標楷體" w:hAnsi="標楷體" w:cs="標楷體"/>
          <w:kern w:val="0"/>
          <w:sz w:val="28"/>
          <w:szCs w:val="28"/>
          <w:lang w:val="zh-TW"/>
        </w:rPr>
        <w:t>(三)衛星通信業務之個人指位無線電示標（Personal Locator Beacon，簡稱PLB）。</w:t>
      </w:r>
    </w:p>
    <w:p w:rsidR="00CC3F77" w:rsidRDefault="00CC3F77">
      <w:pPr>
        <w:pStyle w:val="Textbody"/>
        <w:ind w:left="480" w:hanging="480"/>
        <w:rPr>
          <w:rFonts w:ascii="Times New Roman" w:eastAsia="標楷體" w:hAnsi="Times New Roman"/>
          <w:sz w:val="28"/>
          <w:szCs w:val="28"/>
        </w:rPr>
      </w:pPr>
    </w:p>
    <w:p w:rsidR="00CC3F77" w:rsidRDefault="00F73C30">
      <w:pPr>
        <w:pStyle w:val="Textbody"/>
        <w:ind w:left="480" w:hanging="480"/>
      </w:pPr>
      <w:r>
        <w:rPr>
          <w:rFonts w:ascii="Times New Roman" w:eastAsia="標楷體" w:hAnsi="Times New Roman"/>
          <w:sz w:val="28"/>
          <w:szCs w:val="28"/>
        </w:rPr>
        <w:t>四、</w:t>
      </w:r>
      <w:r>
        <w:rPr>
          <w:rFonts w:ascii="Times New Roman" w:eastAsia="標楷體" w:hAnsi="Times New Roman"/>
          <w:kern w:val="0"/>
          <w:sz w:val="28"/>
          <w:szCs w:val="28"/>
          <w:lang w:val="zh-TW"/>
        </w:rPr>
        <w:t>無線廣播電視之無線發射或收發設備：依法經營廣播電臺之事業或政府機關於地下街或隧道內設置改善收聽不良之無線電廣播輔助收發訊系統。</w:t>
      </w:r>
    </w:p>
    <w:p w:rsidR="00CC3F77" w:rsidRDefault="00CC3F77">
      <w:pPr>
        <w:pStyle w:val="Textbody"/>
        <w:ind w:left="480" w:hanging="480"/>
        <w:rPr>
          <w:rFonts w:ascii="Times New Roman" w:eastAsia="標楷體" w:hAnsi="Times New Roman"/>
          <w:sz w:val="28"/>
          <w:szCs w:val="28"/>
        </w:rPr>
      </w:pPr>
    </w:p>
    <w:p w:rsidR="00CC3F77" w:rsidRDefault="00F73C30">
      <w:pPr>
        <w:pStyle w:val="Textbody"/>
        <w:ind w:left="480" w:hanging="480"/>
      </w:pPr>
      <w:r>
        <w:rPr>
          <w:rFonts w:ascii="Times New Roman" w:eastAsia="標楷體" w:hAnsi="Times New Roman"/>
          <w:sz w:val="28"/>
          <w:szCs w:val="28"/>
        </w:rPr>
        <w:t>五、低功率電波輻射性電機之無線發射或收發設備</w:t>
      </w:r>
      <w:r>
        <w:rPr>
          <w:rFonts w:ascii="標楷體" w:eastAsia="標楷體" w:hAnsi="標楷體" w:cs="標楷體"/>
          <w:kern w:val="0"/>
          <w:sz w:val="28"/>
          <w:szCs w:val="28"/>
          <w:lang w:val="zh-TW"/>
        </w:rPr>
        <w:t>。但不含設置固定天線之民用頻段無線電對講機。</w:t>
      </w:r>
    </w:p>
    <w:p w:rsidR="00CC3F77" w:rsidRPr="00B00BB3" w:rsidRDefault="00F73C30" w:rsidP="00B00BB3">
      <w:pPr>
        <w:pStyle w:val="Textbody"/>
        <w:spacing w:before="312"/>
        <w:ind w:left="480" w:hanging="480"/>
        <w:rPr>
          <w:rFonts w:hint="eastAsia"/>
        </w:rPr>
      </w:pPr>
      <w:r>
        <w:rPr>
          <w:rFonts w:ascii="標楷體" w:eastAsia="標楷體" w:hAnsi="標楷體" w:cs="標楷體"/>
          <w:kern w:val="0"/>
          <w:sz w:val="28"/>
          <w:szCs w:val="28"/>
          <w:lang w:val="zh-TW"/>
        </w:rPr>
        <w:t>六、供民生公用事業設置智慧讀表系統使用，經主管機關型式認證或核准之表端射頻器材或模組；其天線不可與機體分離或外接，且使用專用頻率及最大射頻輸出功率在一瓦特(1W)以下者。</w:t>
      </w:r>
      <w:bookmarkStart w:id="0" w:name="_GoBack"/>
      <w:bookmarkEnd w:id="0"/>
    </w:p>
    <w:sectPr w:rsidR="00CC3F77" w:rsidRPr="00B00BB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54" w:rsidRDefault="00AA7D54">
      <w:r>
        <w:separator/>
      </w:r>
    </w:p>
  </w:endnote>
  <w:endnote w:type="continuationSeparator" w:id="0">
    <w:p w:rsidR="00AA7D54" w:rsidRDefault="00AA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54" w:rsidRDefault="00AA7D54">
      <w:r>
        <w:rPr>
          <w:color w:val="000000"/>
        </w:rPr>
        <w:separator/>
      </w:r>
    </w:p>
  </w:footnote>
  <w:footnote w:type="continuationSeparator" w:id="0">
    <w:p w:rsidR="00AA7D54" w:rsidRDefault="00AA7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77"/>
    <w:rsid w:val="008F3026"/>
    <w:rsid w:val="00AA7D54"/>
    <w:rsid w:val="00B00BB3"/>
    <w:rsid w:val="00CC3F77"/>
    <w:rsid w:val="00F73C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04599"/>
  <w15:docId w15:val="{14E16BB1-4824-4EF9-AB42-2768F57F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rFonts w:ascii="Cambria" w:eastAsia="Cambria" w:hAnsi="Cambria" w:cs="Cambria"/>
      <w:sz w:val="18"/>
      <w:szCs w:val="18"/>
    </w:r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a8">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射頻與資源管理處射頻管制與認證科姜政男</dc:creator>
  <cp:lastModifiedBy>包家禎(資源)</cp:lastModifiedBy>
  <cp:revision>3</cp:revision>
  <cp:lastPrinted>2016-07-06T08:02:00Z</cp:lastPrinted>
  <dcterms:created xsi:type="dcterms:W3CDTF">2018-07-27T02:01:00Z</dcterms:created>
  <dcterms:modified xsi:type="dcterms:W3CDTF">2018-07-27T02:01:00Z</dcterms:modified>
</cp:coreProperties>
</file>