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C76E6A">
        <w:rPr>
          <w:rFonts w:eastAsia="標楷體" w:hAnsi="標楷體" w:hint="eastAsia"/>
          <w:spacing w:val="4"/>
          <w:sz w:val="32"/>
        </w:rPr>
        <w:t>5</w:t>
      </w:r>
      <w:r w:rsidRPr="006103DA">
        <w:rPr>
          <w:rFonts w:eastAsia="標楷體" w:hAnsi="標楷體"/>
          <w:spacing w:val="4"/>
          <w:sz w:val="32"/>
        </w:rPr>
        <w:t>年</w:t>
      </w:r>
      <w:r w:rsidR="00C76E6A">
        <w:rPr>
          <w:rFonts w:eastAsia="標楷體" w:hAnsi="標楷體" w:hint="eastAsia"/>
          <w:spacing w:val="4"/>
          <w:sz w:val="32"/>
        </w:rPr>
        <w:t>1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0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</w:t>
            </w:r>
            <w:r w:rsidR="00C76E6A">
              <w:rPr>
                <w:rFonts w:eastAsia="標楷體" w:hint="eastAsia"/>
                <w:sz w:val="28"/>
                <w:szCs w:val="28"/>
              </w:rPr>
              <w:t>2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C76E6A">
              <w:rPr>
                <w:rFonts w:eastAsia="標楷體" w:hint="eastAsia"/>
                <w:sz w:val="28"/>
                <w:szCs w:val="28"/>
              </w:rPr>
              <w:t>7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96" w:rsidRDefault="00E7313B" w:rsidP="00E7313B">
            <w:pPr>
              <w:spacing w:line="40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 w:rsidR="00FD6996"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FD6996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="00E7313B"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Default="00DD27FA" w:rsidP="00E7313B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5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DD27FA" w:rsidRPr="003C48E4" w:rsidRDefault="00DD27FA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7</w:t>
            </w:r>
            <w:r>
              <w:rPr>
                <w:rFonts w:eastAsia="標楷體" w:hAnsi="標楷體" w:hint="eastAsia"/>
                <w:spacing w:val="4"/>
                <w:sz w:val="32"/>
              </w:rPr>
              <w:t>張執照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32"/>
              </w:rPr>
              <w:t>15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98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93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81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C76E6A">
              <w:rPr>
                <w:rFonts w:eastAsia="標楷體" w:hAnsi="標楷體" w:hint="eastAsia"/>
                <w:spacing w:val="4"/>
                <w:sz w:val="28"/>
                <w:szCs w:val="28"/>
              </w:rPr>
              <w:t>17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20E54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62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20E5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全國數位有線電視股份有限公司於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日正式開播營運。新高雄、新北市有線電視股份公司分別於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日、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數位天空服務及北都數位公司於104年11月1日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正式開播營運，</w:t>
            </w:r>
            <w:proofErr w:type="gramStart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新彰數位</w:t>
            </w:r>
            <w:proofErr w:type="gramEnd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有線電視公司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於105年1月1日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E54" w:rsidRPr="003C48E4" w:rsidRDefault="00720E54" w:rsidP="00720E54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</w:t>
            </w:r>
            <w:proofErr w:type="gramStart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祥</w:t>
            </w:r>
            <w:proofErr w:type="gramEnd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720E54" w:rsidP="00720E54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Year" w:val="1997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720E54">
        <w:rPr>
          <w:rFonts w:eastAsia="標楷體" w:hAnsi="標楷體" w:hint="eastAsia"/>
          <w:sz w:val="32"/>
        </w:rPr>
        <w:t>4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720E54">
              <w:rPr>
                <w:rFonts w:eastAsia="標楷體" w:hAnsi="標楷體" w:hint="eastAsia"/>
                <w:sz w:val="32"/>
              </w:rPr>
              <w:t>12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720E54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078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876</w:t>
            </w:r>
            <w:r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59.97%</w:t>
            </w:r>
          </w:p>
        </w:tc>
      </w:tr>
      <w:tr w:rsidR="00720E54" w:rsidRPr="00410638">
        <w:trPr>
          <w:trHeight w:val="885"/>
        </w:trPr>
        <w:tc>
          <w:tcPr>
            <w:tcW w:w="3240" w:type="dxa"/>
            <w:vAlign w:val="center"/>
          </w:tcPr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lastRenderedPageBreak/>
              <w:t>有線電視數位</w:t>
            </w:r>
          </w:p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4,563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243</w:t>
            </w:r>
            <w:r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89.85%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26" w:rsidRDefault="00881026" w:rsidP="00E104D7">
      <w:r>
        <w:separator/>
      </w:r>
    </w:p>
  </w:endnote>
  <w:endnote w:type="continuationSeparator" w:id="0">
    <w:p w:rsidR="00881026" w:rsidRDefault="00881026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26" w:rsidRDefault="00881026" w:rsidP="00E104D7">
      <w:r>
        <w:separator/>
      </w:r>
    </w:p>
  </w:footnote>
  <w:footnote w:type="continuationSeparator" w:id="0">
    <w:p w:rsidR="00881026" w:rsidRDefault="00881026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56E8F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3153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50F1F"/>
    <w:rsid w:val="001676D9"/>
    <w:rsid w:val="00170A52"/>
    <w:rsid w:val="00181AD0"/>
    <w:rsid w:val="00182526"/>
    <w:rsid w:val="00183FCA"/>
    <w:rsid w:val="001866D4"/>
    <w:rsid w:val="001918DD"/>
    <w:rsid w:val="00192A96"/>
    <w:rsid w:val="001952AE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3128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726"/>
    <w:rsid w:val="00265DEC"/>
    <w:rsid w:val="00266D7B"/>
    <w:rsid w:val="00267580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1B2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97E7E"/>
    <w:rsid w:val="005A02C6"/>
    <w:rsid w:val="005A1B10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479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0E54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36D5"/>
    <w:rsid w:val="00835AA2"/>
    <w:rsid w:val="00836DA5"/>
    <w:rsid w:val="0083723C"/>
    <w:rsid w:val="00837F3F"/>
    <w:rsid w:val="008455AF"/>
    <w:rsid w:val="0085027A"/>
    <w:rsid w:val="00852DAC"/>
    <w:rsid w:val="00854BDA"/>
    <w:rsid w:val="00860E0B"/>
    <w:rsid w:val="00873758"/>
    <w:rsid w:val="00877A5B"/>
    <w:rsid w:val="00881026"/>
    <w:rsid w:val="00882A34"/>
    <w:rsid w:val="00883C6D"/>
    <w:rsid w:val="008841B6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B5442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86AED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95441"/>
    <w:rsid w:val="00BA2722"/>
    <w:rsid w:val="00BB0702"/>
    <w:rsid w:val="00BB3E60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1599"/>
    <w:rsid w:val="00C14DA7"/>
    <w:rsid w:val="00C16FB0"/>
    <w:rsid w:val="00C20381"/>
    <w:rsid w:val="00C30866"/>
    <w:rsid w:val="00C3289F"/>
    <w:rsid w:val="00C42D44"/>
    <w:rsid w:val="00C433E5"/>
    <w:rsid w:val="00C4380B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76E6A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3A33"/>
    <w:rsid w:val="00D76981"/>
    <w:rsid w:val="00D8190F"/>
    <w:rsid w:val="00D8193D"/>
    <w:rsid w:val="00D819F1"/>
    <w:rsid w:val="00D86437"/>
    <w:rsid w:val="00D91304"/>
    <w:rsid w:val="00D91B67"/>
    <w:rsid w:val="00D94710"/>
    <w:rsid w:val="00D94B54"/>
    <w:rsid w:val="00D96AB0"/>
    <w:rsid w:val="00DA2307"/>
    <w:rsid w:val="00DA3285"/>
    <w:rsid w:val="00DB41C2"/>
    <w:rsid w:val="00DC021A"/>
    <w:rsid w:val="00DC64F7"/>
    <w:rsid w:val="00DD27FA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F0456A"/>
    <w:rsid w:val="00F04B72"/>
    <w:rsid w:val="00F132C7"/>
    <w:rsid w:val="00F17DA0"/>
    <w:rsid w:val="00F22D10"/>
    <w:rsid w:val="00F26AA8"/>
    <w:rsid w:val="00F32FD3"/>
    <w:rsid w:val="00F342FD"/>
    <w:rsid w:val="00F3757A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</Words>
  <Characters>690</Characters>
  <Application>Microsoft Office Word</Application>
  <DocSecurity>0</DocSecurity>
  <Lines>5</Lines>
  <Paragraphs>1</Paragraphs>
  <ScaleCrop>false</ScaleCrop>
  <Company>GIO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nc</cp:lastModifiedBy>
  <cp:revision>29</cp:revision>
  <cp:lastPrinted>2015-02-25T01:27:00Z</cp:lastPrinted>
  <dcterms:created xsi:type="dcterms:W3CDTF">2015-02-25T01:39:00Z</dcterms:created>
  <dcterms:modified xsi:type="dcterms:W3CDTF">2016-02-18T02:53:00Z</dcterms:modified>
</cp:coreProperties>
</file>