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D0" w:rsidRDefault="006407D0" w:rsidP="009A033D">
      <w:pPr>
        <w:spacing w:line="440" w:lineRule="exact"/>
        <w:rPr>
          <w:b/>
          <w:sz w:val="32"/>
          <w:szCs w:val="32"/>
        </w:rPr>
      </w:pPr>
      <w:bookmarkStart w:id="0" w:name="_GoBack"/>
      <w:bookmarkEnd w:id="0"/>
      <w:r w:rsidRPr="009A033D">
        <w:rPr>
          <w:b/>
          <w:sz w:val="32"/>
          <w:szCs w:val="32"/>
        </w:rPr>
        <w:t xml:space="preserve">Regulations on Guidance and Incentives </w:t>
      </w:r>
      <w:r w:rsidR="009A033D">
        <w:rPr>
          <w:b/>
          <w:sz w:val="32"/>
          <w:szCs w:val="32"/>
        </w:rPr>
        <w:t>Provided by</w:t>
      </w:r>
      <w:r w:rsidRPr="009A033D">
        <w:rPr>
          <w:b/>
          <w:sz w:val="32"/>
          <w:szCs w:val="32"/>
        </w:rPr>
        <w:t xml:space="preserve"> the National Communications Commission to Affiliated Companies of Business Entities</w:t>
      </w:r>
      <w:r w:rsidR="00482F09" w:rsidRPr="009A033D">
        <w:rPr>
          <w:b/>
          <w:sz w:val="32"/>
          <w:szCs w:val="32"/>
        </w:rPr>
        <w:t xml:space="preserve"> under </w:t>
      </w:r>
      <w:r w:rsidR="009A033D">
        <w:rPr>
          <w:b/>
          <w:sz w:val="32"/>
          <w:szCs w:val="32"/>
        </w:rPr>
        <w:t>S</w:t>
      </w:r>
      <w:r w:rsidR="00482F09" w:rsidRPr="009A033D">
        <w:rPr>
          <w:b/>
          <w:sz w:val="32"/>
          <w:szCs w:val="32"/>
        </w:rPr>
        <w:t xml:space="preserve">upervision of National Communications Commissions </w:t>
      </w:r>
      <w:r w:rsidRPr="009A033D">
        <w:rPr>
          <w:b/>
          <w:sz w:val="32"/>
          <w:szCs w:val="32"/>
        </w:rPr>
        <w:t>for Hiring People with Disabilities</w:t>
      </w:r>
    </w:p>
    <w:p w:rsidR="00362CEA" w:rsidRDefault="00362CEA" w:rsidP="009A033D">
      <w:pPr>
        <w:spacing w:line="440" w:lineRule="exact"/>
        <w:rPr>
          <w:b/>
          <w:sz w:val="32"/>
          <w:szCs w:val="32"/>
        </w:rPr>
      </w:pPr>
    </w:p>
    <w:p w:rsidR="00362CEA" w:rsidRPr="00362CEA" w:rsidRDefault="00362CEA" w:rsidP="009A033D">
      <w:pPr>
        <w:spacing w:line="440" w:lineRule="exact"/>
        <w:rPr>
          <w:szCs w:val="24"/>
        </w:rPr>
      </w:pPr>
      <w:r w:rsidRPr="00362CEA">
        <w:rPr>
          <w:szCs w:val="24"/>
        </w:rPr>
        <w:t>Promulgated on September 2, 2016</w:t>
      </w:r>
    </w:p>
    <w:p w:rsidR="006407D0" w:rsidRPr="006407D0" w:rsidRDefault="006407D0">
      <w:pPr>
        <w:pStyle w:val="Standard"/>
        <w:jc w:val="center"/>
      </w:pPr>
    </w:p>
    <w:p w:rsidR="00805086" w:rsidRPr="00805086" w:rsidRDefault="00805086" w:rsidP="006407D0">
      <w:pPr>
        <w:widowControl/>
        <w:shd w:val="clear" w:color="auto" w:fill="F9FBFB"/>
        <w:suppressAutoHyphens w:val="0"/>
        <w:autoSpaceDN/>
        <w:spacing w:line="408" w:lineRule="atLeast"/>
        <w:ind w:leftChars="1" w:left="991" w:right="-143" w:hangingChars="412" w:hanging="989"/>
        <w:textAlignment w:val="auto"/>
        <w:rPr>
          <w:color w:val="000000"/>
          <w:kern w:val="0"/>
          <w:szCs w:val="24"/>
        </w:rPr>
      </w:pPr>
      <w:r w:rsidRPr="00805086">
        <w:rPr>
          <w:color w:val="000000"/>
          <w:kern w:val="0"/>
          <w:szCs w:val="24"/>
        </w:rPr>
        <w:t>Article 1 These Regulations are hereby enacted pursuant to Paragraph 3, Article 38-1 of the People with Disabilities Rights Protection Act (hereinafter referred to as the Act).</w:t>
      </w:r>
    </w:p>
    <w:p w:rsidR="006407D0" w:rsidRPr="006407D0" w:rsidRDefault="006407D0" w:rsidP="006407D0">
      <w:pPr>
        <w:ind w:leftChars="1" w:left="991" w:hangingChars="412" w:hanging="989"/>
      </w:pPr>
      <w:r w:rsidRPr="006407D0">
        <w:t xml:space="preserve">Article 2 The </w:t>
      </w:r>
      <w:r w:rsidR="006C0A6C">
        <w:t>C</w:t>
      </w:r>
      <w:r w:rsidRPr="006407D0">
        <w:t xml:space="preserve">ompetent </w:t>
      </w:r>
      <w:r w:rsidR="006C0A6C">
        <w:t>A</w:t>
      </w:r>
      <w:r w:rsidRPr="006407D0">
        <w:t>uthority mentioned in these Regulations is the National Communications Commission</w:t>
      </w:r>
      <w:r w:rsidR="006C0A6C">
        <w:t>, and</w:t>
      </w:r>
      <w:r w:rsidRPr="006407D0">
        <w:t xml:space="preserve"> the </w:t>
      </w:r>
      <w:r w:rsidR="006C0A6C">
        <w:t>L</w:t>
      </w:r>
      <w:r w:rsidRPr="006407D0">
        <w:t xml:space="preserve">abor </w:t>
      </w:r>
      <w:r w:rsidR="006C0A6C">
        <w:t>C</w:t>
      </w:r>
      <w:r w:rsidRPr="006407D0">
        <w:t xml:space="preserve">ompetent </w:t>
      </w:r>
      <w:r w:rsidR="006C0A6C">
        <w:t>A</w:t>
      </w:r>
      <w:r w:rsidRPr="006407D0">
        <w:t>uthority mentioned is the Ministry of Labor.</w:t>
      </w:r>
    </w:p>
    <w:p w:rsidR="006407D0" w:rsidRPr="006407D0" w:rsidRDefault="006407D0" w:rsidP="00D96077">
      <w:pPr>
        <w:ind w:leftChars="1" w:left="991" w:right="-1" w:hangingChars="412" w:hanging="989"/>
      </w:pPr>
      <w:r w:rsidRPr="006407D0">
        <w:t>Article 3</w:t>
      </w:r>
      <w:r>
        <w:rPr>
          <w:rFonts w:hint="eastAsia"/>
        </w:rPr>
        <w:t xml:space="preserve"> </w:t>
      </w:r>
      <w:r w:rsidRPr="006407D0">
        <w:t xml:space="preserve">The </w:t>
      </w:r>
      <w:r w:rsidR="006C0A6C">
        <w:t>B</w:t>
      </w:r>
      <w:r w:rsidRPr="006407D0">
        <w:t xml:space="preserve">usiness </w:t>
      </w:r>
      <w:r w:rsidR="006C0A6C">
        <w:t>E</w:t>
      </w:r>
      <w:r w:rsidRPr="006407D0">
        <w:t xml:space="preserve">ntities mentioned in these Regulations refer to the entities whose operated business has been permitted or authorized by the </w:t>
      </w:r>
      <w:r w:rsidR="008E0365">
        <w:t>C</w:t>
      </w:r>
      <w:r w:rsidRPr="006407D0">
        <w:t xml:space="preserve">ompetent </w:t>
      </w:r>
      <w:r w:rsidR="008E0365">
        <w:t>A</w:t>
      </w:r>
      <w:r w:rsidRPr="006407D0">
        <w:t>uthority</w:t>
      </w:r>
      <w:r w:rsidR="009A033D">
        <w:t xml:space="preserve">, </w:t>
      </w:r>
      <w:r w:rsidRPr="006407D0">
        <w:t xml:space="preserve">the </w:t>
      </w:r>
      <w:r w:rsidR="006C0A6C">
        <w:t>A</w:t>
      </w:r>
      <w:r w:rsidRPr="006407D0">
        <w:t xml:space="preserve">ffiliated </w:t>
      </w:r>
      <w:r w:rsidR="006C0A6C">
        <w:t>C</w:t>
      </w:r>
      <w:r w:rsidRPr="006407D0">
        <w:t xml:space="preserve">ompanies mentioned refer to </w:t>
      </w:r>
      <w:r w:rsidR="006C0A6C">
        <w:t xml:space="preserve">the other companies whose not less than </w:t>
      </w:r>
      <w:r w:rsidR="006C0A6C" w:rsidRPr="006407D0">
        <w:t>one-third outstanding</w:t>
      </w:r>
      <w:r w:rsidR="006C0A6C">
        <w:t xml:space="preserve"> shares or capital</w:t>
      </w:r>
      <w:r w:rsidR="008E0365">
        <w:t xml:space="preserve"> with value not less than </w:t>
      </w:r>
      <w:r w:rsidR="008E0365" w:rsidRPr="006407D0">
        <w:t>NT$500,000</w:t>
      </w:r>
      <w:r w:rsidR="006C0A6C">
        <w:t xml:space="preserve"> are hold by the Business Entities,</w:t>
      </w:r>
      <w:r w:rsidR="008E0365">
        <w:t xml:space="preserve"> </w:t>
      </w:r>
      <w:r w:rsidRPr="006407D0">
        <w:t xml:space="preserve">and </w:t>
      </w:r>
      <w:r w:rsidR="008E0365">
        <w:t>such other companies meet the qualification as prescribed</w:t>
      </w:r>
      <w:r w:rsidRPr="006407D0">
        <w:t xml:space="preserve"> in Paragraph 1, Article 38-1 of the Act.</w:t>
      </w:r>
      <w:r w:rsidRPr="006407D0">
        <w:br/>
        <w:t xml:space="preserve">When calculating the combined fixed employee number in accordance with Paragraph 1, Article 38-1 of the Act, </w:t>
      </w:r>
      <w:r w:rsidR="008E0365">
        <w:t>B</w:t>
      </w:r>
      <w:r w:rsidRPr="006407D0">
        <w:t xml:space="preserve">usiness </w:t>
      </w:r>
      <w:r w:rsidR="008E0365">
        <w:t>E</w:t>
      </w:r>
      <w:r w:rsidRPr="006407D0">
        <w:t xml:space="preserve">ntities shall </w:t>
      </w:r>
      <w:r w:rsidR="008E0365">
        <w:t xml:space="preserve">make </w:t>
      </w:r>
      <w:r w:rsidRPr="006407D0">
        <w:t>appl</w:t>
      </w:r>
      <w:r w:rsidR="008E0365">
        <w:t>ication</w:t>
      </w:r>
      <w:r w:rsidRPr="006407D0">
        <w:t xml:space="preserve"> </w:t>
      </w:r>
      <w:r w:rsidR="008E0365">
        <w:t>to</w:t>
      </w:r>
      <w:r w:rsidRPr="006407D0">
        <w:t xml:space="preserve"> the </w:t>
      </w:r>
      <w:r w:rsidR="00182EEF">
        <w:t>L</w:t>
      </w:r>
      <w:r w:rsidRPr="006407D0">
        <w:t xml:space="preserve">abor </w:t>
      </w:r>
      <w:r w:rsidR="00182EEF">
        <w:t>C</w:t>
      </w:r>
      <w:r w:rsidRPr="006407D0">
        <w:t xml:space="preserve">ompetent </w:t>
      </w:r>
      <w:r w:rsidR="00182EEF">
        <w:t>A</w:t>
      </w:r>
      <w:r w:rsidRPr="006407D0">
        <w:t xml:space="preserve">uthority of the special municipality, county, or city government for combined calculation of number of people with disabilities employed after the </w:t>
      </w:r>
      <w:r w:rsidR="008E0365">
        <w:t>C</w:t>
      </w:r>
      <w:r w:rsidRPr="006407D0">
        <w:t xml:space="preserve">ompetent </w:t>
      </w:r>
      <w:r w:rsidR="008E0365">
        <w:t>A</w:t>
      </w:r>
      <w:r w:rsidRPr="006407D0">
        <w:t xml:space="preserve">uthority has recognized </w:t>
      </w:r>
      <w:r w:rsidR="00C75597">
        <w:t>their</w:t>
      </w:r>
      <w:r w:rsidRPr="006407D0">
        <w:t xml:space="preserve"> </w:t>
      </w:r>
      <w:r w:rsidR="008E0365">
        <w:t>A</w:t>
      </w:r>
      <w:r w:rsidRPr="006407D0">
        <w:t xml:space="preserve">ffiliated </w:t>
      </w:r>
      <w:r w:rsidR="008E0365">
        <w:t>C</w:t>
      </w:r>
      <w:r w:rsidRPr="006407D0">
        <w:t>ompan</w:t>
      </w:r>
      <w:r w:rsidR="008E0365">
        <w:t>ies</w:t>
      </w:r>
      <w:r w:rsidRPr="006407D0">
        <w:t xml:space="preserve"> in accordance with the regulations in the previous paragraph.</w:t>
      </w:r>
    </w:p>
    <w:p w:rsidR="00680CB0" w:rsidRPr="00680CB0" w:rsidRDefault="00680CB0" w:rsidP="00680CB0">
      <w:pPr>
        <w:ind w:leftChars="1" w:left="991" w:hangingChars="412" w:hanging="989"/>
      </w:pPr>
      <w:r w:rsidRPr="00680CB0">
        <w:t>Article 4</w:t>
      </w:r>
      <w:r>
        <w:rPr>
          <w:rFonts w:hint="eastAsia"/>
        </w:rPr>
        <w:t xml:space="preserve"> </w:t>
      </w:r>
      <w:r w:rsidRPr="00680CB0">
        <w:t>Those</w:t>
      </w:r>
      <w:r>
        <w:t xml:space="preserve"> B</w:t>
      </w:r>
      <w:r w:rsidRPr="00680CB0">
        <w:t xml:space="preserve">usiness entities and their </w:t>
      </w:r>
      <w:r>
        <w:t>A</w:t>
      </w:r>
      <w:r w:rsidRPr="00680CB0">
        <w:t xml:space="preserve">ffiliated </w:t>
      </w:r>
      <w:r>
        <w:t>C</w:t>
      </w:r>
      <w:r w:rsidRPr="00680CB0">
        <w:t>ompanies</w:t>
      </w:r>
      <w:r>
        <w:t xml:space="preserve"> meeting qualifications as prescribed in</w:t>
      </w:r>
      <w:r w:rsidRPr="00680CB0">
        <w:t xml:space="preserve"> Paragraph 1 of the previous article wh</w:t>
      </w:r>
      <w:r>
        <w:t>ich</w:t>
      </w:r>
      <w:r w:rsidRPr="00680CB0">
        <w:t xml:space="preserve"> </w:t>
      </w:r>
      <w:r>
        <w:t xml:space="preserve">have </w:t>
      </w:r>
      <w:r w:rsidRPr="00680CB0">
        <w:t xml:space="preserve">employed or plan to employ a combination of at least three people with disabilities and have documents of proof, the </w:t>
      </w:r>
      <w:r>
        <w:t>C</w:t>
      </w:r>
      <w:r w:rsidRPr="00680CB0">
        <w:t xml:space="preserve">ompetent </w:t>
      </w:r>
      <w:r>
        <w:t>A</w:t>
      </w:r>
      <w:r w:rsidRPr="00680CB0">
        <w:t>uthority may give guidance and incentives regularly or from time to time.</w:t>
      </w:r>
      <w:r w:rsidRPr="00680CB0">
        <w:br/>
        <w:t>The documents of proof in the previous paragraph refer to the disability proof or disability card, proof of labor insurance, and proof of employment of the people with disabilities who are employed.</w:t>
      </w:r>
    </w:p>
    <w:p w:rsidR="00995CBE" w:rsidRPr="00995CBE" w:rsidRDefault="00995CBE" w:rsidP="00D96077">
      <w:pPr>
        <w:widowControl/>
        <w:shd w:val="clear" w:color="auto" w:fill="F9FBFB"/>
        <w:suppressAutoHyphens w:val="0"/>
        <w:autoSpaceDN/>
        <w:spacing w:line="408" w:lineRule="atLeast"/>
        <w:ind w:leftChars="1" w:left="991" w:right="140" w:hangingChars="412" w:hanging="989"/>
        <w:textAlignment w:val="auto"/>
        <w:rPr>
          <w:color w:val="000000"/>
          <w:kern w:val="0"/>
          <w:szCs w:val="24"/>
        </w:rPr>
      </w:pPr>
      <w:r w:rsidRPr="009A033D">
        <w:rPr>
          <w:color w:val="000000"/>
          <w:kern w:val="0"/>
          <w:szCs w:val="24"/>
        </w:rPr>
        <w:t>Article 5 When the Business Entities and their Affiliated Companies meeting qualifications as prescribed in Paragraph 1, Article 3, apply for guidance from the Competent Authority according to law, the Competent Authority may give them priority.</w:t>
      </w:r>
    </w:p>
    <w:p w:rsidR="00C75597" w:rsidRPr="00C75597" w:rsidRDefault="00C75597" w:rsidP="009A033D">
      <w:pPr>
        <w:ind w:leftChars="1" w:left="991" w:hangingChars="412" w:hanging="989"/>
      </w:pPr>
      <w:r w:rsidRPr="00C75597">
        <w:t>Article 6</w:t>
      </w:r>
      <w:r>
        <w:rPr>
          <w:rFonts w:hint="eastAsia"/>
        </w:rPr>
        <w:t xml:space="preserve"> </w:t>
      </w:r>
      <w:r w:rsidRPr="00C75597">
        <w:t xml:space="preserve">For the </w:t>
      </w:r>
      <w:r>
        <w:t>B</w:t>
      </w:r>
      <w:r w:rsidRPr="00C75597">
        <w:t xml:space="preserve">usiness </w:t>
      </w:r>
      <w:r>
        <w:t>E</w:t>
      </w:r>
      <w:r w:rsidRPr="00C75597">
        <w:t xml:space="preserve">ntities and their </w:t>
      </w:r>
      <w:r>
        <w:t>A</w:t>
      </w:r>
      <w:r w:rsidRPr="00C75597">
        <w:t xml:space="preserve">ffiliated </w:t>
      </w:r>
      <w:r>
        <w:t>C</w:t>
      </w:r>
      <w:r w:rsidRPr="00C75597">
        <w:t xml:space="preserve">ompanies </w:t>
      </w:r>
      <w:r w:rsidR="006E7CD7">
        <w:rPr>
          <w:color w:val="000000"/>
          <w:kern w:val="0"/>
          <w:szCs w:val="24"/>
        </w:rPr>
        <w:t>meeting qualifications as prescribed in</w:t>
      </w:r>
      <w:r w:rsidR="006E7CD7" w:rsidRPr="00C75597">
        <w:t xml:space="preserve"> </w:t>
      </w:r>
      <w:r w:rsidRPr="00C75597">
        <w:t xml:space="preserve">Paragraph 1, Article 3, the </w:t>
      </w:r>
      <w:r w:rsidR="006E7CD7">
        <w:t>C</w:t>
      </w:r>
      <w:r w:rsidRPr="00C75597">
        <w:t xml:space="preserve">ompetent </w:t>
      </w:r>
      <w:r w:rsidR="006E7CD7">
        <w:t>A</w:t>
      </w:r>
      <w:r w:rsidRPr="00C75597">
        <w:t xml:space="preserve">uthority may forward them to the </w:t>
      </w:r>
      <w:r w:rsidR="006E7CD7">
        <w:t>L</w:t>
      </w:r>
      <w:r w:rsidRPr="00C75597">
        <w:t xml:space="preserve">abor </w:t>
      </w:r>
      <w:r w:rsidR="005D71FC">
        <w:t>C</w:t>
      </w:r>
      <w:r w:rsidRPr="00C75597">
        <w:t xml:space="preserve">ompetent </w:t>
      </w:r>
      <w:r w:rsidR="005D71FC">
        <w:t>A</w:t>
      </w:r>
      <w:r w:rsidRPr="00C75597">
        <w:t xml:space="preserve">uthority to assess and provide guidance measures or subsidizations for getting to know the traits of the people with disabilities, work capability assessments, vocational trainings, employment matchmaking, supportive employment service, work </w:t>
      </w:r>
      <w:r w:rsidRPr="00C75597">
        <w:lastRenderedPageBreak/>
        <w:t>analysis, the improvement of workplace environment, the improvement of working equipment or machines, employment aids, the improvement of working conditions, the adjustment of working methods, occupational safety and health, etc.</w:t>
      </w:r>
      <w:r w:rsidRPr="00C75597">
        <w:br/>
        <w:t xml:space="preserve">When the Commission forwards them to the </w:t>
      </w:r>
      <w:r w:rsidR="00856DA3">
        <w:t>L</w:t>
      </w:r>
      <w:r w:rsidRPr="00C75597">
        <w:t xml:space="preserve">abor </w:t>
      </w:r>
      <w:r w:rsidR="00856DA3">
        <w:t>C</w:t>
      </w:r>
      <w:r w:rsidRPr="00C75597">
        <w:t xml:space="preserve">ompetent </w:t>
      </w:r>
      <w:r w:rsidR="00856DA3">
        <w:t>A</w:t>
      </w:r>
      <w:r w:rsidRPr="00C75597">
        <w:t xml:space="preserve">uthority for assessment, it shall also notify said </w:t>
      </w:r>
      <w:r w:rsidR="00856DA3">
        <w:t>B</w:t>
      </w:r>
      <w:r w:rsidRPr="00C75597">
        <w:t xml:space="preserve">usiness </w:t>
      </w:r>
      <w:r w:rsidR="00856DA3">
        <w:t>E</w:t>
      </w:r>
      <w:r w:rsidRPr="00C75597">
        <w:t xml:space="preserve">ntity or its </w:t>
      </w:r>
      <w:r w:rsidR="00856DA3">
        <w:t>A</w:t>
      </w:r>
      <w:r w:rsidRPr="00C75597">
        <w:t xml:space="preserve">ffiliated </w:t>
      </w:r>
      <w:r w:rsidR="00856DA3">
        <w:t>C</w:t>
      </w:r>
      <w:r w:rsidRPr="00C75597">
        <w:t>ompanies.</w:t>
      </w:r>
    </w:p>
    <w:p w:rsidR="00D354A0" w:rsidRPr="00D354A0" w:rsidRDefault="00D354A0" w:rsidP="009A033D">
      <w:pPr>
        <w:ind w:leftChars="1" w:left="991" w:hangingChars="412" w:hanging="989"/>
      </w:pPr>
      <w:r w:rsidRPr="00D354A0">
        <w:t>Article 7</w:t>
      </w:r>
      <w:r>
        <w:rPr>
          <w:rFonts w:hint="eastAsia"/>
        </w:rPr>
        <w:t xml:space="preserve"> </w:t>
      </w:r>
      <w:r w:rsidRPr="00D354A0">
        <w:t xml:space="preserve">For the </w:t>
      </w:r>
      <w:r>
        <w:t>B</w:t>
      </w:r>
      <w:r w:rsidRPr="00D354A0">
        <w:t xml:space="preserve">usiness </w:t>
      </w:r>
      <w:r>
        <w:t>E</w:t>
      </w:r>
      <w:r w:rsidRPr="00D354A0">
        <w:t xml:space="preserve">ntities </w:t>
      </w:r>
      <w:r w:rsidRPr="00C75597">
        <w:t xml:space="preserve">and their </w:t>
      </w:r>
      <w:r>
        <w:t>A</w:t>
      </w:r>
      <w:r w:rsidRPr="00C75597">
        <w:t xml:space="preserve">ffiliated </w:t>
      </w:r>
      <w:r>
        <w:t>C</w:t>
      </w:r>
      <w:r w:rsidRPr="00C75597">
        <w:t xml:space="preserve">ompanies </w:t>
      </w:r>
      <w:r>
        <w:rPr>
          <w:color w:val="000000"/>
          <w:kern w:val="0"/>
          <w:szCs w:val="24"/>
        </w:rPr>
        <w:t>meeting qualifications as prescribed in</w:t>
      </w:r>
      <w:r w:rsidRPr="00D354A0">
        <w:t xml:space="preserve"> </w:t>
      </w:r>
      <w:r w:rsidRPr="00C75597">
        <w:t>Paragraph 1, Article 3</w:t>
      </w:r>
      <w:r w:rsidRPr="00D354A0">
        <w:t>, the competent authority may give incentives, in which the incentive methods are as follows:</w:t>
      </w:r>
      <w:r w:rsidRPr="00D354A0">
        <w:br/>
        <w:t>I. Award certificate, medal, or trophy.</w:t>
      </w:r>
      <w:r w:rsidRPr="00D354A0">
        <w:br/>
        <w:t xml:space="preserve">II. For the </w:t>
      </w:r>
      <w:r>
        <w:t>B</w:t>
      </w:r>
      <w:r w:rsidRPr="00D354A0">
        <w:t xml:space="preserve">usiness </w:t>
      </w:r>
      <w:r>
        <w:t>E</w:t>
      </w:r>
      <w:r w:rsidRPr="00D354A0">
        <w:t xml:space="preserve">ntities that have significant contributions in </w:t>
      </w:r>
      <w:r>
        <w:t>hiri</w:t>
      </w:r>
      <w:r w:rsidRPr="00D354A0">
        <w:t xml:space="preserve">ng people with disabilities, in conjunction with the </w:t>
      </w:r>
      <w:r w:rsidR="004528D4">
        <w:rPr>
          <w:rFonts w:hint="eastAsia"/>
        </w:rPr>
        <w:t>L</w:t>
      </w:r>
      <w:r w:rsidRPr="00D354A0">
        <w:t xml:space="preserve">abor </w:t>
      </w:r>
      <w:r w:rsidR="004528D4">
        <w:rPr>
          <w:rFonts w:hint="eastAsia"/>
        </w:rPr>
        <w:t>C</w:t>
      </w:r>
      <w:r w:rsidRPr="00D354A0">
        <w:t xml:space="preserve">ompetent </w:t>
      </w:r>
      <w:r w:rsidR="004528D4">
        <w:rPr>
          <w:rFonts w:hint="eastAsia"/>
        </w:rPr>
        <w:t>A</w:t>
      </w:r>
      <w:r w:rsidRPr="00D354A0">
        <w:t xml:space="preserve">uthority, the </w:t>
      </w:r>
      <w:r w:rsidR="004528D4">
        <w:rPr>
          <w:rFonts w:hint="eastAsia"/>
        </w:rPr>
        <w:t>C</w:t>
      </w:r>
      <w:r w:rsidRPr="00D354A0">
        <w:t xml:space="preserve">ompetent </w:t>
      </w:r>
      <w:r w:rsidR="004528D4">
        <w:rPr>
          <w:rFonts w:hint="eastAsia"/>
        </w:rPr>
        <w:t>A</w:t>
      </w:r>
      <w:r w:rsidRPr="00D354A0">
        <w:t>uthority may give public praise.</w:t>
      </w:r>
      <w:r w:rsidRPr="00D354A0">
        <w:br/>
        <w:t xml:space="preserve">The </w:t>
      </w:r>
      <w:r w:rsidR="004528D4">
        <w:rPr>
          <w:rFonts w:hint="eastAsia"/>
        </w:rPr>
        <w:t>C</w:t>
      </w:r>
      <w:r w:rsidRPr="00D354A0">
        <w:t xml:space="preserve">ompetent </w:t>
      </w:r>
      <w:r w:rsidR="004528D4">
        <w:rPr>
          <w:rFonts w:hint="eastAsia"/>
        </w:rPr>
        <w:t>A</w:t>
      </w:r>
      <w:r w:rsidRPr="00D354A0">
        <w:t>uthority may in addition request other subordinate authorities of the Executive Yuan in writing to give substantive incentives.</w:t>
      </w:r>
    </w:p>
    <w:p w:rsidR="00AA41C6" w:rsidRPr="00AA41C6" w:rsidRDefault="00AA41C6" w:rsidP="00AA41C6">
      <w:r w:rsidRPr="00AA41C6">
        <w:t>Article 8</w:t>
      </w:r>
      <w:r>
        <w:rPr>
          <w:rFonts w:hint="eastAsia"/>
        </w:rPr>
        <w:t xml:space="preserve">  </w:t>
      </w:r>
      <w:r w:rsidRPr="00AA41C6">
        <w:t>These Regulations shall take effect from the date of promulgation.</w:t>
      </w:r>
    </w:p>
    <w:p w:rsidR="00AA41C6" w:rsidRPr="00AA41C6" w:rsidRDefault="00AA41C6">
      <w:pPr>
        <w:pStyle w:val="Standard"/>
        <w:spacing w:line="420" w:lineRule="exact"/>
        <w:ind w:left="588" w:hanging="588"/>
        <w:jc w:val="both"/>
      </w:pPr>
    </w:p>
    <w:sectPr w:rsidR="00AA41C6" w:rsidRPr="00AA41C6">
      <w:footerReference w:type="default" r:id="rId7"/>
      <w:pgSz w:w="11906" w:h="16838"/>
      <w:pgMar w:top="1134" w:right="1134" w:bottom="1134"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CD" w:rsidRDefault="00BE5ECD">
      <w:r>
        <w:separator/>
      </w:r>
    </w:p>
  </w:endnote>
  <w:endnote w:type="continuationSeparator" w:id="0">
    <w:p w:rsidR="00BE5ECD" w:rsidRDefault="00BE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華康粗黑體">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D" w:rsidRDefault="00D567B9">
    <w:pPr>
      <w:pStyle w:val="a9"/>
      <w:jc w:val="center"/>
    </w:pPr>
    <w:r>
      <w:rPr>
        <w:rStyle w:val="ab"/>
      </w:rPr>
      <w:fldChar w:fldCharType="begin"/>
    </w:r>
    <w:r>
      <w:rPr>
        <w:rStyle w:val="ab"/>
      </w:rPr>
      <w:instrText xml:space="preserve"> PAGE </w:instrText>
    </w:r>
    <w:r>
      <w:rPr>
        <w:rStyle w:val="ab"/>
      </w:rPr>
      <w:fldChar w:fldCharType="separate"/>
    </w:r>
    <w:r w:rsidR="00BE5ECD">
      <w:rPr>
        <w:rStyle w:val="ab"/>
        <w:noProof/>
      </w:rPr>
      <w:t>1</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CD" w:rsidRDefault="00BE5ECD">
      <w:r>
        <w:rPr>
          <w:color w:val="000000"/>
        </w:rPr>
        <w:separator/>
      </w:r>
    </w:p>
  </w:footnote>
  <w:footnote w:type="continuationSeparator" w:id="0">
    <w:p w:rsidR="00BE5ECD" w:rsidRDefault="00BE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794"/>
    <w:multiLevelType w:val="multilevel"/>
    <w:tmpl w:val="38F68EB8"/>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D678E2"/>
    <w:multiLevelType w:val="multilevel"/>
    <w:tmpl w:val="B510986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D7B7E9C"/>
    <w:multiLevelType w:val="hybridMultilevel"/>
    <w:tmpl w:val="5EAC50EA"/>
    <w:lvl w:ilvl="0" w:tplc="3728577A">
      <w:start w:val="1"/>
      <w:numFmt w:val="taiwaneseCountingThousand"/>
      <w:lvlText w:val="第%1條"/>
      <w:lvlJc w:val="left"/>
      <w:pPr>
        <w:ind w:left="1005" w:hanging="10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0971AB"/>
    <w:multiLevelType w:val="multilevel"/>
    <w:tmpl w:val="1CEA9168"/>
    <w:styleLink w:val="WWNum2"/>
    <w:lvl w:ilvl="0">
      <w:start w:val="1"/>
      <w:numFmt w:val="japaneseCounting"/>
      <w:lvlText w:val="%1、"/>
      <w:lvlJc w:val="left"/>
      <w:pPr>
        <w:ind w:left="365" w:hanging="480"/>
      </w:pPr>
    </w:lvl>
    <w:lvl w:ilvl="1">
      <w:start w:val="1"/>
      <w:numFmt w:val="ideographTraditional"/>
      <w:lvlText w:val="%2、"/>
      <w:lvlJc w:val="left"/>
      <w:pPr>
        <w:ind w:left="845" w:hanging="480"/>
      </w:pPr>
    </w:lvl>
    <w:lvl w:ilvl="2">
      <w:start w:val="1"/>
      <w:numFmt w:val="lowerRoman"/>
      <w:lvlText w:val="%3."/>
      <w:lvlJc w:val="right"/>
      <w:pPr>
        <w:ind w:left="1325" w:hanging="480"/>
      </w:pPr>
    </w:lvl>
    <w:lvl w:ilvl="3">
      <w:start w:val="1"/>
      <w:numFmt w:val="decimal"/>
      <w:lvlText w:val="%4."/>
      <w:lvlJc w:val="left"/>
      <w:pPr>
        <w:ind w:left="1805" w:hanging="480"/>
      </w:pPr>
    </w:lvl>
    <w:lvl w:ilvl="4">
      <w:start w:val="1"/>
      <w:numFmt w:val="ideographTraditional"/>
      <w:lvlText w:val="%5、"/>
      <w:lvlJc w:val="left"/>
      <w:pPr>
        <w:ind w:left="2285" w:hanging="480"/>
      </w:pPr>
    </w:lvl>
    <w:lvl w:ilvl="5">
      <w:start w:val="1"/>
      <w:numFmt w:val="lowerRoman"/>
      <w:lvlText w:val="%6."/>
      <w:lvlJc w:val="right"/>
      <w:pPr>
        <w:ind w:left="2765" w:hanging="480"/>
      </w:pPr>
    </w:lvl>
    <w:lvl w:ilvl="6">
      <w:start w:val="1"/>
      <w:numFmt w:val="decimal"/>
      <w:lvlText w:val="%7."/>
      <w:lvlJc w:val="left"/>
      <w:pPr>
        <w:ind w:left="3245" w:hanging="480"/>
      </w:pPr>
    </w:lvl>
    <w:lvl w:ilvl="7">
      <w:start w:val="1"/>
      <w:numFmt w:val="ideographTraditional"/>
      <w:lvlText w:val="%8、"/>
      <w:lvlJc w:val="left"/>
      <w:pPr>
        <w:ind w:left="3725" w:hanging="480"/>
      </w:pPr>
    </w:lvl>
    <w:lvl w:ilvl="8">
      <w:start w:val="1"/>
      <w:numFmt w:val="lowerRoman"/>
      <w:lvlText w:val="%9."/>
      <w:lvlJc w:val="right"/>
      <w:pPr>
        <w:ind w:left="4205" w:hanging="480"/>
      </w:pPr>
    </w:lvl>
  </w:abstractNum>
  <w:abstractNum w:abstractNumId="4" w15:restartNumberingAfterBreak="0">
    <w:nsid w:val="74EC4959"/>
    <w:multiLevelType w:val="multilevel"/>
    <w:tmpl w:val="64F21B1E"/>
    <w:styleLink w:val="WWNum3"/>
    <w:lvl w:ilvl="0">
      <w:start w:val="1"/>
      <w:numFmt w:val="japaneseCounting"/>
      <w:lvlText w:val="%1、"/>
      <w:lvlJc w:val="left"/>
      <w:pPr>
        <w:ind w:left="413" w:hanging="480"/>
      </w:pPr>
    </w:lvl>
    <w:lvl w:ilvl="1">
      <w:start w:val="1"/>
      <w:numFmt w:val="ideographTraditional"/>
      <w:lvlText w:val="%2、"/>
      <w:lvlJc w:val="left"/>
      <w:pPr>
        <w:ind w:left="893" w:hanging="480"/>
      </w:pPr>
    </w:lvl>
    <w:lvl w:ilvl="2">
      <w:start w:val="1"/>
      <w:numFmt w:val="lowerRoman"/>
      <w:lvlText w:val="%3."/>
      <w:lvlJc w:val="right"/>
      <w:pPr>
        <w:ind w:left="1373" w:hanging="480"/>
      </w:pPr>
    </w:lvl>
    <w:lvl w:ilvl="3">
      <w:start w:val="1"/>
      <w:numFmt w:val="decimal"/>
      <w:lvlText w:val="%4."/>
      <w:lvlJc w:val="left"/>
      <w:pPr>
        <w:ind w:left="1853" w:hanging="480"/>
      </w:pPr>
    </w:lvl>
    <w:lvl w:ilvl="4">
      <w:start w:val="1"/>
      <w:numFmt w:val="ideographTraditional"/>
      <w:lvlText w:val="%5、"/>
      <w:lvlJc w:val="left"/>
      <w:pPr>
        <w:ind w:left="2333" w:hanging="480"/>
      </w:pPr>
    </w:lvl>
    <w:lvl w:ilvl="5">
      <w:start w:val="1"/>
      <w:numFmt w:val="lowerRoman"/>
      <w:lvlText w:val="%6."/>
      <w:lvlJc w:val="right"/>
      <w:pPr>
        <w:ind w:left="2813" w:hanging="480"/>
      </w:pPr>
    </w:lvl>
    <w:lvl w:ilvl="6">
      <w:start w:val="1"/>
      <w:numFmt w:val="decimal"/>
      <w:lvlText w:val="%7."/>
      <w:lvlJc w:val="left"/>
      <w:pPr>
        <w:ind w:left="3293" w:hanging="480"/>
      </w:pPr>
    </w:lvl>
    <w:lvl w:ilvl="7">
      <w:start w:val="1"/>
      <w:numFmt w:val="ideographTraditional"/>
      <w:lvlText w:val="%8、"/>
      <w:lvlJc w:val="left"/>
      <w:pPr>
        <w:ind w:left="3773" w:hanging="480"/>
      </w:pPr>
    </w:lvl>
    <w:lvl w:ilvl="8">
      <w:start w:val="1"/>
      <w:numFmt w:val="lowerRoman"/>
      <w:lvlText w:val="%9."/>
      <w:lvlJc w:val="right"/>
      <w:pPr>
        <w:ind w:left="4253"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3"/>
    <w:rsid w:val="00023EF7"/>
    <w:rsid w:val="000C1A8F"/>
    <w:rsid w:val="00182EEF"/>
    <w:rsid w:val="00362CEA"/>
    <w:rsid w:val="004528D4"/>
    <w:rsid w:val="00482F09"/>
    <w:rsid w:val="005D71FC"/>
    <w:rsid w:val="006407D0"/>
    <w:rsid w:val="00680CB0"/>
    <w:rsid w:val="006C0A6C"/>
    <w:rsid w:val="006E7CD7"/>
    <w:rsid w:val="00805086"/>
    <w:rsid w:val="00856DA3"/>
    <w:rsid w:val="008E0365"/>
    <w:rsid w:val="009408AB"/>
    <w:rsid w:val="00995CBE"/>
    <w:rsid w:val="009A033D"/>
    <w:rsid w:val="00A63AA3"/>
    <w:rsid w:val="00AA41C6"/>
    <w:rsid w:val="00BE5ECD"/>
    <w:rsid w:val="00C75597"/>
    <w:rsid w:val="00D354A0"/>
    <w:rsid w:val="00D567B9"/>
    <w:rsid w:val="00D9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B40D"/>
  <w15:docId w15:val="{F1EEBE6B-9C11-4D4F-9D8C-CF6C9972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960" w:hanging="960"/>
    </w:pPr>
    <w:rPr>
      <w:rFonts w:eastAsia="華康粗黑體"/>
      <w:sz w:val="48"/>
      <w:szCs w:val="48"/>
    </w:rPr>
  </w:style>
  <w:style w:type="paragraph" w:styleId="a5">
    <w:name w:val="annotation text"/>
    <w:basedOn w:val="Standard"/>
  </w:style>
  <w:style w:type="paragraph" w:styleId="a6">
    <w:name w:val="annotation subject"/>
    <w:basedOn w:val="a5"/>
    <w:rPr>
      <w:b/>
      <w:bCs/>
    </w:rPr>
  </w:style>
  <w:style w:type="paragraph" w:styleId="a7">
    <w:name w:val="Balloon Text"/>
    <w:basedOn w:val="Standard"/>
    <w:rPr>
      <w:rFonts w:ascii="Arial" w:eastAsia="Arial" w:hAnsi="Arial" w:cs="Arial"/>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character" w:styleId="aa">
    <w:name w:val="annotation reference"/>
    <w:basedOn w:val="a0"/>
    <w:rPr>
      <w:sz w:val="18"/>
      <w:szCs w:val="18"/>
    </w:rPr>
  </w:style>
  <w:style w:type="character" w:styleId="ab">
    <w:name w:val="page number"/>
    <w:basedOn w:val="a0"/>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paragraph" w:styleId="ac">
    <w:name w:val="List Paragraph"/>
    <w:basedOn w:val="a"/>
    <w:uiPriority w:val="34"/>
    <w:qFormat/>
    <w:rsid w:val="00805086"/>
    <w:pPr>
      <w:ind w:leftChars="200" w:left="480"/>
    </w:pPr>
  </w:style>
  <w:style w:type="character" w:styleId="ad">
    <w:name w:val="Hyperlink"/>
    <w:basedOn w:val="a0"/>
    <w:uiPriority w:val="99"/>
    <w:semiHidden/>
    <w:unhideWhenUsed/>
    <w:rsid w:val="00640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961">
      <w:bodyDiv w:val="1"/>
      <w:marLeft w:val="0"/>
      <w:marRight w:val="0"/>
      <w:marTop w:val="0"/>
      <w:marBottom w:val="0"/>
      <w:divBdr>
        <w:top w:val="none" w:sz="0" w:space="0" w:color="auto"/>
        <w:left w:val="none" w:sz="0" w:space="0" w:color="auto"/>
        <w:bottom w:val="none" w:sz="0" w:space="0" w:color="auto"/>
        <w:right w:val="none" w:sz="0" w:space="0" w:color="auto"/>
      </w:divBdr>
      <w:divsChild>
        <w:div w:id="1438675750">
          <w:marLeft w:val="0"/>
          <w:marRight w:val="240"/>
          <w:marTop w:val="0"/>
          <w:marBottom w:val="0"/>
          <w:divBdr>
            <w:top w:val="none" w:sz="0" w:space="0" w:color="auto"/>
            <w:left w:val="none" w:sz="0" w:space="0" w:color="auto"/>
            <w:bottom w:val="none" w:sz="0" w:space="0" w:color="auto"/>
            <w:right w:val="none" w:sz="0" w:space="0" w:color="auto"/>
          </w:divBdr>
        </w:div>
        <w:div w:id="577518253">
          <w:marLeft w:val="0"/>
          <w:marRight w:val="0"/>
          <w:marTop w:val="0"/>
          <w:marBottom w:val="0"/>
          <w:divBdr>
            <w:top w:val="none" w:sz="0" w:space="0" w:color="auto"/>
            <w:left w:val="none" w:sz="0" w:space="0" w:color="auto"/>
            <w:bottom w:val="none" w:sz="0" w:space="0" w:color="auto"/>
            <w:right w:val="none" w:sz="0" w:space="0" w:color="auto"/>
          </w:divBdr>
        </w:div>
      </w:divsChild>
    </w:div>
    <w:div w:id="323776908">
      <w:bodyDiv w:val="1"/>
      <w:marLeft w:val="0"/>
      <w:marRight w:val="0"/>
      <w:marTop w:val="0"/>
      <w:marBottom w:val="0"/>
      <w:divBdr>
        <w:top w:val="none" w:sz="0" w:space="0" w:color="auto"/>
        <w:left w:val="none" w:sz="0" w:space="0" w:color="auto"/>
        <w:bottom w:val="none" w:sz="0" w:space="0" w:color="auto"/>
        <w:right w:val="none" w:sz="0" w:space="0" w:color="auto"/>
      </w:divBdr>
      <w:divsChild>
        <w:div w:id="1318144583">
          <w:marLeft w:val="0"/>
          <w:marRight w:val="240"/>
          <w:marTop w:val="0"/>
          <w:marBottom w:val="0"/>
          <w:divBdr>
            <w:top w:val="none" w:sz="0" w:space="0" w:color="auto"/>
            <w:left w:val="none" w:sz="0" w:space="0" w:color="auto"/>
            <w:bottom w:val="none" w:sz="0" w:space="0" w:color="auto"/>
            <w:right w:val="none" w:sz="0" w:space="0" w:color="auto"/>
          </w:divBdr>
        </w:div>
        <w:div w:id="457067469">
          <w:marLeft w:val="0"/>
          <w:marRight w:val="0"/>
          <w:marTop w:val="0"/>
          <w:marBottom w:val="0"/>
          <w:divBdr>
            <w:top w:val="none" w:sz="0" w:space="0" w:color="auto"/>
            <w:left w:val="none" w:sz="0" w:space="0" w:color="auto"/>
            <w:bottom w:val="none" w:sz="0" w:space="0" w:color="auto"/>
            <w:right w:val="none" w:sz="0" w:space="0" w:color="auto"/>
          </w:divBdr>
        </w:div>
      </w:divsChild>
    </w:div>
    <w:div w:id="631401247">
      <w:bodyDiv w:val="1"/>
      <w:marLeft w:val="0"/>
      <w:marRight w:val="0"/>
      <w:marTop w:val="0"/>
      <w:marBottom w:val="0"/>
      <w:divBdr>
        <w:top w:val="none" w:sz="0" w:space="0" w:color="auto"/>
        <w:left w:val="none" w:sz="0" w:space="0" w:color="auto"/>
        <w:bottom w:val="none" w:sz="0" w:space="0" w:color="auto"/>
        <w:right w:val="none" w:sz="0" w:space="0" w:color="auto"/>
      </w:divBdr>
      <w:divsChild>
        <w:div w:id="1169442572">
          <w:marLeft w:val="0"/>
          <w:marRight w:val="240"/>
          <w:marTop w:val="0"/>
          <w:marBottom w:val="0"/>
          <w:divBdr>
            <w:top w:val="none" w:sz="0" w:space="0" w:color="auto"/>
            <w:left w:val="none" w:sz="0" w:space="0" w:color="auto"/>
            <w:bottom w:val="none" w:sz="0" w:space="0" w:color="auto"/>
            <w:right w:val="none" w:sz="0" w:space="0" w:color="auto"/>
          </w:divBdr>
        </w:div>
        <w:div w:id="943808543">
          <w:marLeft w:val="0"/>
          <w:marRight w:val="0"/>
          <w:marTop w:val="0"/>
          <w:marBottom w:val="0"/>
          <w:divBdr>
            <w:top w:val="none" w:sz="0" w:space="0" w:color="auto"/>
            <w:left w:val="none" w:sz="0" w:space="0" w:color="auto"/>
            <w:bottom w:val="none" w:sz="0" w:space="0" w:color="auto"/>
            <w:right w:val="none" w:sz="0" w:space="0" w:color="auto"/>
          </w:divBdr>
        </w:div>
      </w:divsChild>
    </w:div>
    <w:div w:id="926159735">
      <w:bodyDiv w:val="1"/>
      <w:marLeft w:val="0"/>
      <w:marRight w:val="0"/>
      <w:marTop w:val="0"/>
      <w:marBottom w:val="0"/>
      <w:divBdr>
        <w:top w:val="none" w:sz="0" w:space="0" w:color="auto"/>
        <w:left w:val="none" w:sz="0" w:space="0" w:color="auto"/>
        <w:bottom w:val="none" w:sz="0" w:space="0" w:color="auto"/>
        <w:right w:val="none" w:sz="0" w:space="0" w:color="auto"/>
      </w:divBdr>
      <w:divsChild>
        <w:div w:id="466900271">
          <w:marLeft w:val="0"/>
          <w:marRight w:val="240"/>
          <w:marTop w:val="0"/>
          <w:marBottom w:val="0"/>
          <w:divBdr>
            <w:top w:val="none" w:sz="0" w:space="0" w:color="auto"/>
            <w:left w:val="none" w:sz="0" w:space="0" w:color="auto"/>
            <w:bottom w:val="none" w:sz="0" w:space="0" w:color="auto"/>
            <w:right w:val="none" w:sz="0" w:space="0" w:color="auto"/>
          </w:divBdr>
        </w:div>
        <w:div w:id="254897912">
          <w:marLeft w:val="0"/>
          <w:marRight w:val="0"/>
          <w:marTop w:val="0"/>
          <w:marBottom w:val="0"/>
          <w:divBdr>
            <w:top w:val="none" w:sz="0" w:space="0" w:color="auto"/>
            <w:left w:val="none" w:sz="0" w:space="0" w:color="auto"/>
            <w:bottom w:val="none" w:sz="0" w:space="0" w:color="auto"/>
            <w:right w:val="none" w:sz="0" w:space="0" w:color="auto"/>
          </w:divBdr>
        </w:div>
      </w:divsChild>
    </w:div>
    <w:div w:id="1023480976">
      <w:bodyDiv w:val="1"/>
      <w:marLeft w:val="0"/>
      <w:marRight w:val="0"/>
      <w:marTop w:val="0"/>
      <w:marBottom w:val="0"/>
      <w:divBdr>
        <w:top w:val="none" w:sz="0" w:space="0" w:color="auto"/>
        <w:left w:val="none" w:sz="0" w:space="0" w:color="auto"/>
        <w:bottom w:val="none" w:sz="0" w:space="0" w:color="auto"/>
        <w:right w:val="none" w:sz="0" w:space="0" w:color="auto"/>
      </w:divBdr>
      <w:divsChild>
        <w:div w:id="1171214200">
          <w:marLeft w:val="0"/>
          <w:marRight w:val="240"/>
          <w:marTop w:val="0"/>
          <w:marBottom w:val="0"/>
          <w:divBdr>
            <w:top w:val="none" w:sz="0" w:space="0" w:color="auto"/>
            <w:left w:val="none" w:sz="0" w:space="0" w:color="auto"/>
            <w:bottom w:val="none" w:sz="0" w:space="0" w:color="auto"/>
            <w:right w:val="none" w:sz="0" w:space="0" w:color="auto"/>
          </w:divBdr>
        </w:div>
        <w:div w:id="1010643406">
          <w:marLeft w:val="0"/>
          <w:marRight w:val="0"/>
          <w:marTop w:val="0"/>
          <w:marBottom w:val="0"/>
          <w:divBdr>
            <w:top w:val="none" w:sz="0" w:space="0" w:color="auto"/>
            <w:left w:val="none" w:sz="0" w:space="0" w:color="auto"/>
            <w:bottom w:val="none" w:sz="0" w:space="0" w:color="auto"/>
            <w:right w:val="none" w:sz="0" w:space="0" w:color="auto"/>
          </w:divBdr>
        </w:div>
      </w:divsChild>
    </w:div>
    <w:div w:id="1181893953">
      <w:bodyDiv w:val="1"/>
      <w:marLeft w:val="0"/>
      <w:marRight w:val="0"/>
      <w:marTop w:val="0"/>
      <w:marBottom w:val="0"/>
      <w:divBdr>
        <w:top w:val="none" w:sz="0" w:space="0" w:color="auto"/>
        <w:left w:val="none" w:sz="0" w:space="0" w:color="auto"/>
        <w:bottom w:val="none" w:sz="0" w:space="0" w:color="auto"/>
        <w:right w:val="none" w:sz="0" w:space="0" w:color="auto"/>
      </w:divBdr>
      <w:divsChild>
        <w:div w:id="1905286868">
          <w:marLeft w:val="0"/>
          <w:marRight w:val="240"/>
          <w:marTop w:val="0"/>
          <w:marBottom w:val="0"/>
          <w:divBdr>
            <w:top w:val="none" w:sz="0" w:space="0" w:color="auto"/>
            <w:left w:val="none" w:sz="0" w:space="0" w:color="auto"/>
            <w:bottom w:val="none" w:sz="0" w:space="0" w:color="auto"/>
            <w:right w:val="none" w:sz="0" w:space="0" w:color="auto"/>
          </w:divBdr>
        </w:div>
        <w:div w:id="509756986">
          <w:marLeft w:val="0"/>
          <w:marRight w:val="0"/>
          <w:marTop w:val="0"/>
          <w:marBottom w:val="0"/>
          <w:divBdr>
            <w:top w:val="none" w:sz="0" w:space="0" w:color="auto"/>
            <w:left w:val="none" w:sz="0" w:space="0" w:color="auto"/>
            <w:bottom w:val="none" w:sz="0" w:space="0" w:color="auto"/>
            <w:right w:val="none" w:sz="0" w:space="0" w:color="auto"/>
          </w:divBdr>
        </w:div>
      </w:divsChild>
    </w:div>
    <w:div w:id="1317802580">
      <w:bodyDiv w:val="1"/>
      <w:marLeft w:val="0"/>
      <w:marRight w:val="0"/>
      <w:marTop w:val="0"/>
      <w:marBottom w:val="0"/>
      <w:divBdr>
        <w:top w:val="none" w:sz="0" w:space="0" w:color="auto"/>
        <w:left w:val="none" w:sz="0" w:space="0" w:color="auto"/>
        <w:bottom w:val="none" w:sz="0" w:space="0" w:color="auto"/>
        <w:right w:val="none" w:sz="0" w:space="0" w:color="auto"/>
      </w:divBdr>
    </w:div>
    <w:div w:id="1571232052">
      <w:bodyDiv w:val="1"/>
      <w:marLeft w:val="0"/>
      <w:marRight w:val="0"/>
      <w:marTop w:val="0"/>
      <w:marBottom w:val="0"/>
      <w:divBdr>
        <w:top w:val="none" w:sz="0" w:space="0" w:color="auto"/>
        <w:left w:val="none" w:sz="0" w:space="0" w:color="auto"/>
        <w:bottom w:val="none" w:sz="0" w:space="0" w:color="auto"/>
        <w:right w:val="none" w:sz="0" w:space="0" w:color="auto"/>
      </w:divBdr>
      <w:divsChild>
        <w:div w:id="654407849">
          <w:marLeft w:val="0"/>
          <w:marRight w:val="240"/>
          <w:marTop w:val="0"/>
          <w:marBottom w:val="0"/>
          <w:divBdr>
            <w:top w:val="none" w:sz="0" w:space="0" w:color="auto"/>
            <w:left w:val="none" w:sz="0" w:space="0" w:color="auto"/>
            <w:bottom w:val="none" w:sz="0" w:space="0" w:color="auto"/>
            <w:right w:val="none" w:sz="0" w:space="0" w:color="auto"/>
          </w:divBdr>
        </w:div>
        <w:div w:id="4597621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現行規定</dc:title>
  <dc:creator>z00sp</dc:creator>
  <cp:lastModifiedBy>陳永(法務)</cp:lastModifiedBy>
  <cp:revision>2</cp:revision>
  <cp:lastPrinted>2015-06-16T09:18:00Z</cp:lastPrinted>
  <dcterms:created xsi:type="dcterms:W3CDTF">2019-05-07T07:04:00Z</dcterms:created>
  <dcterms:modified xsi:type="dcterms:W3CDTF">2019-05-07T07:04:00Z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國家通訊傳播委員會</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