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5A" w:rsidRDefault="009D5C44" w:rsidP="004203C0">
      <w:pPr>
        <w:pStyle w:val="a3"/>
        <w:spacing w:beforeLines="50" w:afterLines="50"/>
        <w:ind w:left="70" w:rightChars="-80" w:right="-192" w:firstLine="14"/>
        <w:jc w:val="left"/>
        <w:rPr>
          <w:rFonts w:ascii="Arial" w:eastAsia="細明體" w:hAnsi="Arial" w:cs="Arial"/>
          <w:color w:val="666666"/>
          <w:kern w:val="0"/>
          <w:szCs w:val="24"/>
        </w:rPr>
      </w:pPr>
      <w:r>
        <w:rPr>
          <w:rFonts w:ascii="Arial" w:eastAsia="細明體" w:hAnsi="Arial" w:cs="Arial" w:hint="eastAsia"/>
          <w:color w:val="666666"/>
          <w:kern w:val="0"/>
          <w:szCs w:val="24"/>
        </w:rPr>
        <w:t>T</w:t>
      </w:r>
      <w:r w:rsidR="0052165A">
        <w:rPr>
          <w:rFonts w:ascii="Arial" w:eastAsia="細明體" w:hAnsi="Arial" w:cs="Arial" w:hint="eastAsia"/>
          <w:color w:val="666666"/>
          <w:kern w:val="0"/>
          <w:szCs w:val="24"/>
        </w:rPr>
        <w:t>able</w:t>
      </w:r>
    </w:p>
    <w:p w:rsidR="00A4381D" w:rsidRPr="00635B8E" w:rsidRDefault="00C63ABF" w:rsidP="004203C0">
      <w:pPr>
        <w:pStyle w:val="a3"/>
        <w:spacing w:beforeLines="50" w:afterLines="50"/>
        <w:ind w:left="70" w:rightChars="-80" w:right="-192" w:firstLine="14"/>
        <w:jc w:val="left"/>
        <w:rPr>
          <w:rFonts w:ascii="Arial" w:hAnsi="Arial" w:cs="Arial"/>
          <w:szCs w:val="24"/>
        </w:rPr>
      </w:pPr>
      <w:r w:rsidRPr="00635B8E">
        <w:rPr>
          <w:rFonts w:ascii="Arial" w:eastAsia="細明體" w:hAnsi="Arial" w:cs="Arial"/>
          <w:color w:val="666666"/>
          <w:kern w:val="0"/>
          <w:szCs w:val="24"/>
        </w:rPr>
        <w:t xml:space="preserve">The table stipulating the amount the dominant market player shall pay to mobile telecommunications network </w:t>
      </w:r>
      <w:r w:rsidR="00364FC5">
        <w:rPr>
          <w:rFonts w:ascii="Arial" w:eastAsia="細明體" w:hAnsi="Arial" w:cs="Arial" w:hint="eastAsia"/>
          <w:color w:val="666666"/>
          <w:kern w:val="0"/>
          <w:szCs w:val="24"/>
        </w:rPr>
        <w:t>operators</w:t>
      </w:r>
      <w:r w:rsidR="00364FC5" w:rsidRPr="00635B8E">
        <w:rPr>
          <w:rFonts w:ascii="Arial" w:eastAsia="細明體" w:hAnsi="Arial" w:cs="Arial"/>
          <w:color w:val="666666"/>
          <w:kern w:val="0"/>
          <w:szCs w:val="24"/>
        </w:rPr>
        <w:t xml:space="preserve"> </w:t>
      </w:r>
      <w:r w:rsidRPr="00635B8E">
        <w:rPr>
          <w:rFonts w:ascii="Arial" w:eastAsia="細明體" w:hAnsi="Arial" w:cs="Arial"/>
          <w:color w:val="666666"/>
          <w:kern w:val="0"/>
          <w:szCs w:val="24"/>
        </w:rPr>
        <w:t>in transition</w:t>
      </w:r>
    </w:p>
    <w:tbl>
      <w:tblPr>
        <w:tblW w:w="9558" w:type="dxa"/>
        <w:tblInd w:w="-32" w:type="dxa"/>
        <w:tblLayout w:type="fixed"/>
        <w:tblCellMar>
          <w:left w:w="28" w:type="dxa"/>
          <w:right w:w="28" w:type="dxa"/>
        </w:tblCellMar>
        <w:tblLook w:val="0000"/>
      </w:tblPr>
      <w:tblGrid>
        <w:gridCol w:w="2470"/>
        <w:gridCol w:w="1496"/>
        <w:gridCol w:w="1805"/>
        <w:gridCol w:w="3787"/>
      </w:tblGrid>
      <w:tr w:rsidR="00A4381D" w:rsidRPr="00635B8E" w:rsidTr="00364FC5">
        <w:trPr>
          <w:trHeight w:val="459"/>
        </w:trPr>
        <w:tc>
          <w:tcPr>
            <w:tcW w:w="2470" w:type="dxa"/>
            <w:tcBorders>
              <w:top w:val="single" w:sz="12" w:space="0" w:color="auto"/>
              <w:left w:val="single" w:sz="12" w:space="0" w:color="auto"/>
              <w:bottom w:val="single" w:sz="6" w:space="0" w:color="auto"/>
              <w:right w:val="single" w:sz="6" w:space="0" w:color="auto"/>
              <w:tl2br w:val="single" w:sz="6" w:space="0" w:color="auto"/>
            </w:tcBorders>
          </w:tcPr>
          <w:p w:rsidR="00A4381D" w:rsidRPr="00635B8E" w:rsidRDefault="00A4381D" w:rsidP="00344DF0">
            <w:pPr>
              <w:widowControl/>
              <w:spacing w:before="100" w:beforeAutospacing="1" w:line="500" w:lineRule="exact"/>
              <w:jc w:val="center"/>
              <w:rPr>
                <w:rFonts w:ascii="Arial" w:eastAsia="標楷體" w:hAnsi="Arial" w:cs="Arial"/>
                <w:color w:val="000000"/>
                <w:kern w:val="0"/>
                <w:szCs w:val="24"/>
              </w:rPr>
            </w:pPr>
            <w:r w:rsidRPr="00635B8E">
              <w:rPr>
                <w:rFonts w:ascii="Arial" w:eastAsia="標楷體" w:hAnsi="Arial" w:cs="Arial"/>
                <w:color w:val="000000"/>
                <w:kern w:val="0"/>
                <w:szCs w:val="24"/>
              </w:rPr>
              <w:t xml:space="preserve">        </w:t>
            </w:r>
            <w:r w:rsidR="001F28A5" w:rsidRPr="00344DF0">
              <w:rPr>
                <w:rFonts w:ascii="Arial" w:hAnsi="Arial" w:cs="Arial"/>
                <w:b/>
                <w:kern w:val="0"/>
                <w:szCs w:val="24"/>
              </w:rPr>
              <w:t>Item</w:t>
            </w:r>
          </w:p>
          <w:p w:rsidR="00A4381D" w:rsidRPr="00635B8E" w:rsidRDefault="00A4381D" w:rsidP="00A4381D">
            <w:pPr>
              <w:autoSpaceDE w:val="0"/>
              <w:autoSpaceDN w:val="0"/>
              <w:adjustRightInd w:val="0"/>
              <w:jc w:val="center"/>
              <w:rPr>
                <w:rFonts w:ascii="Arial" w:eastAsia="標楷體" w:hAnsi="Arial" w:cs="Arial"/>
                <w:color w:val="000000"/>
                <w:kern w:val="0"/>
                <w:szCs w:val="24"/>
              </w:rPr>
            </w:pPr>
          </w:p>
          <w:p w:rsidR="00A4381D" w:rsidRPr="00635B8E" w:rsidRDefault="001F28A5" w:rsidP="00344DF0">
            <w:pPr>
              <w:widowControl/>
              <w:spacing w:before="100" w:beforeAutospacing="1" w:line="500" w:lineRule="exact"/>
              <w:jc w:val="center"/>
              <w:rPr>
                <w:rFonts w:ascii="Arial" w:eastAsia="標楷體" w:hAnsi="Arial" w:cs="Arial"/>
                <w:color w:val="000000"/>
                <w:kern w:val="0"/>
                <w:szCs w:val="24"/>
              </w:rPr>
            </w:pPr>
            <w:r w:rsidRPr="00344DF0">
              <w:rPr>
                <w:rFonts w:ascii="Arial" w:hAnsi="Arial" w:cs="Arial"/>
                <w:b/>
                <w:kern w:val="0"/>
                <w:szCs w:val="24"/>
              </w:rPr>
              <w:t>Duration</w:t>
            </w:r>
          </w:p>
        </w:tc>
        <w:tc>
          <w:tcPr>
            <w:tcW w:w="1496" w:type="dxa"/>
            <w:tcBorders>
              <w:top w:val="single" w:sz="12" w:space="0" w:color="auto"/>
              <w:left w:val="single" w:sz="6" w:space="0" w:color="auto"/>
              <w:bottom w:val="single" w:sz="6" w:space="0" w:color="auto"/>
              <w:right w:val="single" w:sz="6" w:space="0" w:color="auto"/>
            </w:tcBorders>
            <w:vAlign w:val="center"/>
          </w:tcPr>
          <w:p w:rsidR="00A4381D" w:rsidRPr="00635B8E" w:rsidRDefault="0011081E" w:rsidP="0011081E">
            <w:pPr>
              <w:widowControl/>
              <w:spacing w:before="100" w:beforeAutospacing="1" w:line="500" w:lineRule="exact"/>
              <w:jc w:val="center"/>
              <w:rPr>
                <w:rFonts w:ascii="Arial" w:eastAsia="標楷體" w:hAnsi="Arial" w:cs="Arial"/>
                <w:color w:val="000000"/>
                <w:kern w:val="0"/>
                <w:szCs w:val="24"/>
              </w:rPr>
            </w:pPr>
            <w:r w:rsidRPr="00635B8E">
              <w:rPr>
                <w:rFonts w:ascii="Arial" w:hAnsi="Arial" w:cs="Arial"/>
                <w:b/>
                <w:kern w:val="0"/>
                <w:szCs w:val="24"/>
              </w:rPr>
              <w:t>Peak period</w:t>
            </w:r>
          </w:p>
          <w:p w:rsidR="00A4381D" w:rsidRPr="00635B8E" w:rsidRDefault="009C17D6" w:rsidP="00A4381D">
            <w:pPr>
              <w:autoSpaceDE w:val="0"/>
              <w:autoSpaceDN w:val="0"/>
              <w:adjustRightInd w:val="0"/>
              <w:jc w:val="center"/>
              <w:rPr>
                <w:rFonts w:ascii="Arial" w:eastAsia="標楷體" w:hAnsi="Arial" w:cs="Arial"/>
                <w:color w:val="000000"/>
                <w:kern w:val="0"/>
                <w:szCs w:val="24"/>
              </w:rPr>
            </w:pPr>
            <w:r w:rsidRPr="00635B8E">
              <w:rPr>
                <w:rFonts w:ascii="Arial" w:eastAsia="Times New Roman" w:hAnsi="Arial" w:cs="Arial"/>
                <w:color w:val="000000"/>
                <w:szCs w:val="24"/>
              </w:rPr>
              <w:t>(</w:t>
            </w:r>
            <w:r w:rsidRPr="00635B8E">
              <w:rPr>
                <w:rFonts w:ascii="Arial" w:eastAsia="Times New Roman" w:hAnsi="Arial" w:cs="Arial"/>
                <w:szCs w:val="24"/>
              </w:rPr>
              <w:t>NT$/minute)</w:t>
            </w:r>
          </w:p>
        </w:tc>
        <w:tc>
          <w:tcPr>
            <w:tcW w:w="1805" w:type="dxa"/>
            <w:tcBorders>
              <w:top w:val="single" w:sz="12" w:space="0" w:color="auto"/>
              <w:left w:val="single" w:sz="6" w:space="0" w:color="auto"/>
              <w:bottom w:val="single" w:sz="6" w:space="0" w:color="auto"/>
              <w:right w:val="single" w:sz="6" w:space="0" w:color="auto"/>
            </w:tcBorders>
            <w:vAlign w:val="center"/>
          </w:tcPr>
          <w:p w:rsidR="0011081E" w:rsidRPr="00635B8E" w:rsidRDefault="0011081E" w:rsidP="0011081E">
            <w:pPr>
              <w:widowControl/>
              <w:spacing w:before="100" w:beforeAutospacing="1" w:line="500" w:lineRule="exact"/>
              <w:jc w:val="center"/>
              <w:rPr>
                <w:rFonts w:ascii="Arial" w:hAnsi="Arial" w:cs="Arial"/>
                <w:b/>
                <w:kern w:val="0"/>
                <w:szCs w:val="24"/>
              </w:rPr>
            </w:pPr>
            <w:r w:rsidRPr="00635B8E">
              <w:rPr>
                <w:rFonts w:ascii="Arial" w:hAnsi="Arial" w:cs="Arial"/>
                <w:b/>
                <w:kern w:val="0"/>
                <w:szCs w:val="24"/>
              </w:rPr>
              <w:t>Off peak period</w:t>
            </w:r>
          </w:p>
          <w:p w:rsidR="00A4381D" w:rsidRPr="00635B8E" w:rsidRDefault="009C17D6" w:rsidP="0011081E">
            <w:pPr>
              <w:autoSpaceDE w:val="0"/>
              <w:autoSpaceDN w:val="0"/>
              <w:adjustRightInd w:val="0"/>
              <w:jc w:val="center"/>
              <w:rPr>
                <w:rFonts w:ascii="Arial" w:eastAsia="標楷體" w:hAnsi="Arial" w:cs="Arial"/>
                <w:color w:val="000000"/>
                <w:kern w:val="0"/>
                <w:szCs w:val="24"/>
              </w:rPr>
            </w:pPr>
            <w:r w:rsidRPr="00635B8E">
              <w:rPr>
                <w:rFonts w:ascii="Arial" w:eastAsia="Times New Roman" w:hAnsi="Arial" w:cs="Arial"/>
                <w:color w:val="000000"/>
                <w:szCs w:val="24"/>
              </w:rPr>
              <w:t>(</w:t>
            </w:r>
            <w:r w:rsidRPr="00635B8E">
              <w:rPr>
                <w:rFonts w:ascii="Arial" w:eastAsia="Times New Roman" w:hAnsi="Arial" w:cs="Arial"/>
                <w:szCs w:val="24"/>
              </w:rPr>
              <w:t>NT$/minute)</w:t>
            </w:r>
          </w:p>
        </w:tc>
        <w:tc>
          <w:tcPr>
            <w:tcW w:w="3787" w:type="dxa"/>
            <w:tcBorders>
              <w:top w:val="single" w:sz="12" w:space="0" w:color="auto"/>
              <w:left w:val="single" w:sz="6" w:space="0" w:color="auto"/>
              <w:bottom w:val="single" w:sz="6" w:space="0" w:color="auto"/>
              <w:right w:val="single" w:sz="12" w:space="0" w:color="auto"/>
            </w:tcBorders>
            <w:vAlign w:val="center"/>
          </w:tcPr>
          <w:p w:rsidR="00A4381D" w:rsidRPr="00635B8E" w:rsidRDefault="009C17D6" w:rsidP="00A4381D">
            <w:pPr>
              <w:autoSpaceDE w:val="0"/>
              <w:autoSpaceDN w:val="0"/>
              <w:adjustRightInd w:val="0"/>
              <w:jc w:val="center"/>
              <w:rPr>
                <w:rFonts w:ascii="Arial" w:eastAsia="標楷體" w:hAnsi="Arial" w:cs="Arial"/>
                <w:color w:val="000000"/>
                <w:kern w:val="0"/>
                <w:szCs w:val="24"/>
              </w:rPr>
            </w:pPr>
            <w:r w:rsidRPr="00635B8E">
              <w:rPr>
                <w:rFonts w:ascii="Arial" w:eastAsia="Times New Roman" w:hAnsi="Arial" w:cs="Arial"/>
                <w:b/>
                <w:bCs/>
                <w:szCs w:val="24"/>
              </w:rPr>
              <w:t>Description</w:t>
            </w:r>
          </w:p>
        </w:tc>
      </w:tr>
      <w:tr w:rsidR="00A4381D" w:rsidRPr="00635B8E" w:rsidTr="00364FC5">
        <w:trPr>
          <w:cantSplit/>
          <w:trHeight w:val="974"/>
        </w:trPr>
        <w:tc>
          <w:tcPr>
            <w:tcW w:w="2470" w:type="dxa"/>
            <w:tcBorders>
              <w:top w:val="single" w:sz="6" w:space="0" w:color="auto"/>
              <w:left w:val="single" w:sz="12" w:space="0" w:color="auto"/>
              <w:bottom w:val="single" w:sz="6" w:space="0" w:color="auto"/>
              <w:right w:val="single" w:sz="6" w:space="0" w:color="auto"/>
            </w:tcBorders>
            <w:shd w:val="clear" w:color="FFFFFF" w:fill="auto"/>
            <w:vAlign w:val="center"/>
          </w:tcPr>
          <w:p w:rsidR="00E00F29" w:rsidRPr="00E00F29" w:rsidRDefault="00E00F29" w:rsidP="00E00F29">
            <w:pPr>
              <w:spacing w:line="440" w:lineRule="atLeast"/>
              <w:ind w:left="90" w:right="127"/>
              <w:jc w:val="center"/>
              <w:rPr>
                <w:rFonts w:ascii="Arial" w:hAnsi="Arial" w:cs="Arial"/>
                <w:szCs w:val="24"/>
              </w:rPr>
            </w:pPr>
            <w:r w:rsidRPr="00E00F29">
              <w:rPr>
                <w:rFonts w:ascii="Arial" w:hAnsi="Arial" w:cs="Arial" w:hint="eastAsia"/>
                <w:szCs w:val="24"/>
              </w:rPr>
              <w:t>2011</w:t>
            </w:r>
          </w:p>
          <w:p w:rsidR="00A4381D" w:rsidRPr="00E00F29" w:rsidRDefault="00E00F29" w:rsidP="00E00F29">
            <w:pPr>
              <w:spacing w:line="440" w:lineRule="atLeast"/>
              <w:ind w:left="90" w:right="127"/>
              <w:jc w:val="center"/>
              <w:rPr>
                <w:rFonts w:ascii="Arial" w:eastAsia="標楷體" w:hAnsi="Arial" w:cs="Arial"/>
                <w:color w:val="000000"/>
                <w:kern w:val="0"/>
                <w:szCs w:val="24"/>
              </w:rPr>
            </w:pPr>
            <w:r w:rsidRPr="00E00F29">
              <w:rPr>
                <w:rFonts w:ascii="Arial" w:hAnsi="Arial" w:cs="Arial" w:hint="eastAsia"/>
                <w:szCs w:val="24"/>
              </w:rPr>
              <w:t xml:space="preserve"> (Jan. 1 </w:t>
            </w:r>
            <w:r w:rsidRPr="00E00F29">
              <w:rPr>
                <w:rFonts w:ascii="Arial" w:hAnsi="Arial" w:cs="Arial"/>
                <w:szCs w:val="24"/>
              </w:rPr>
              <w:t>–</w:t>
            </w:r>
            <w:r w:rsidRPr="00E00F29">
              <w:rPr>
                <w:rFonts w:ascii="Arial" w:hAnsi="Arial" w:cs="Arial" w:hint="eastAsia"/>
                <w:szCs w:val="24"/>
              </w:rPr>
              <w:t xml:space="preserve"> Dec. 31)</w:t>
            </w:r>
          </w:p>
        </w:tc>
        <w:tc>
          <w:tcPr>
            <w:tcW w:w="1496"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1.956</w:t>
            </w:r>
          </w:p>
        </w:tc>
        <w:tc>
          <w:tcPr>
            <w:tcW w:w="1805"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3787" w:type="dxa"/>
            <w:vMerge w:val="restart"/>
            <w:tcBorders>
              <w:top w:val="single" w:sz="6" w:space="0" w:color="auto"/>
              <w:left w:val="single" w:sz="6" w:space="0" w:color="auto"/>
              <w:right w:val="single" w:sz="12" w:space="0" w:color="auto"/>
            </w:tcBorders>
            <w:shd w:val="clear" w:color="FFFFFF" w:fill="auto"/>
          </w:tcPr>
          <w:p w:rsidR="00364FC5" w:rsidRPr="00023BD3" w:rsidRDefault="00364FC5" w:rsidP="00364FC5">
            <w:pPr>
              <w:numPr>
                <w:ilvl w:val="0"/>
                <w:numId w:val="5"/>
              </w:numPr>
              <w:rPr>
                <w:rFonts w:ascii="Arial" w:hAnsi="Arial" w:cs="Arial"/>
                <w:szCs w:val="24"/>
              </w:rPr>
            </w:pPr>
            <w:r w:rsidRPr="00023BD3">
              <w:rPr>
                <w:rFonts w:ascii="Arial" w:hAnsi="Arial" w:cs="Arial"/>
                <w:szCs w:val="24"/>
              </w:rPr>
              <w:t>Payment</w:t>
            </w:r>
            <w:r w:rsidR="006D4C6E" w:rsidRPr="00023BD3">
              <w:rPr>
                <w:rFonts w:ascii="Arial" w:hAnsi="Arial" w:cs="Arial"/>
                <w:szCs w:val="24"/>
              </w:rPr>
              <w:t xml:space="preserve"> </w:t>
            </w:r>
            <w:r w:rsidRPr="00023BD3">
              <w:rPr>
                <w:rFonts w:ascii="Arial" w:hAnsi="Arial" w:cs="Arial"/>
                <w:szCs w:val="24"/>
              </w:rPr>
              <w:t>to mobile telecommunications network operators stipulated in the table is calculated by deducting the mobile termination per minute fee from the current minimum shared revenue per minute of existing mobile operators, and is scaled down to zero year by year from 1 January, 2011 to 31 December,2016.</w:t>
            </w:r>
          </w:p>
          <w:p w:rsidR="006D4C6E" w:rsidRPr="00023BD3" w:rsidRDefault="006D4C6E" w:rsidP="00364FC5">
            <w:pPr>
              <w:pStyle w:val="a3"/>
              <w:ind w:left="48" w:rightChars="47" w:right="113" w:firstLine="0"/>
              <w:jc w:val="left"/>
              <w:rPr>
                <w:rFonts w:ascii="Arial" w:hAnsi="Arial" w:cs="Arial"/>
                <w:szCs w:val="24"/>
              </w:rPr>
            </w:pPr>
          </w:p>
          <w:p w:rsidR="00A4381D" w:rsidRPr="00023BD3" w:rsidRDefault="00FA1222" w:rsidP="00364FC5">
            <w:pPr>
              <w:pStyle w:val="a3"/>
              <w:numPr>
                <w:ilvl w:val="0"/>
                <w:numId w:val="5"/>
              </w:numPr>
              <w:ind w:rightChars="13" w:right="31"/>
              <w:jc w:val="left"/>
              <w:rPr>
                <w:rFonts w:ascii="Arial" w:hAnsi="Arial" w:cs="Arial"/>
                <w:szCs w:val="24"/>
              </w:rPr>
            </w:pPr>
            <w:r w:rsidRPr="00023BD3">
              <w:rPr>
                <w:rFonts w:ascii="Arial" w:hAnsi="Arial" w:cs="Arial"/>
                <w:szCs w:val="24"/>
              </w:rPr>
              <w:t xml:space="preserve">If the </w:t>
            </w:r>
            <w:r w:rsidR="004F25EE" w:rsidRPr="00023BD3">
              <w:rPr>
                <w:rFonts w:ascii="Arial" w:hAnsi="Arial" w:cs="Arial" w:hint="eastAsia"/>
                <w:szCs w:val="24"/>
              </w:rPr>
              <w:t xml:space="preserve">competent </w:t>
            </w:r>
            <w:r w:rsidRPr="00023BD3">
              <w:rPr>
                <w:rFonts w:ascii="Arial" w:hAnsi="Arial" w:cs="Arial"/>
                <w:szCs w:val="24"/>
              </w:rPr>
              <w:t>authority approves a different mobile termination fee, the new</w:t>
            </w:r>
            <w:r w:rsidR="009D5A40" w:rsidRPr="00023BD3">
              <w:rPr>
                <w:rFonts w:ascii="Arial" w:hAnsi="Arial" w:cs="Arial" w:hint="eastAsia"/>
                <w:szCs w:val="24"/>
              </w:rPr>
              <w:t xml:space="preserve"> payment </w:t>
            </w:r>
            <w:r w:rsidR="00725CF6" w:rsidRPr="00023BD3">
              <w:rPr>
                <w:rFonts w:ascii="Arial" w:hAnsi="Arial" w:cs="Arial" w:hint="eastAsia"/>
                <w:szCs w:val="24"/>
              </w:rPr>
              <w:t>shall</w:t>
            </w:r>
            <w:r w:rsidRPr="00023BD3">
              <w:rPr>
                <w:rFonts w:ascii="Arial" w:hAnsi="Arial" w:cs="Arial"/>
                <w:szCs w:val="24"/>
              </w:rPr>
              <w:t xml:space="preserve"> be </w:t>
            </w:r>
            <w:r w:rsidR="009D5A40" w:rsidRPr="00023BD3">
              <w:rPr>
                <w:rFonts w:ascii="Arial" w:hAnsi="Arial" w:cs="Arial" w:hint="eastAsia"/>
                <w:szCs w:val="24"/>
              </w:rPr>
              <w:t xml:space="preserve">recalculated as </w:t>
            </w:r>
            <w:r w:rsidRPr="00023BD3">
              <w:rPr>
                <w:rFonts w:ascii="Arial" w:hAnsi="Arial" w:cs="Arial"/>
                <w:szCs w:val="24"/>
              </w:rPr>
              <w:t xml:space="preserve">the current </w:t>
            </w:r>
            <w:r w:rsidR="00C56985" w:rsidRPr="00023BD3">
              <w:rPr>
                <w:rFonts w:ascii="Arial" w:hAnsi="Arial" w:cs="Arial"/>
                <w:szCs w:val="24"/>
              </w:rPr>
              <w:t>payment plus</w:t>
            </w:r>
            <w:r w:rsidRPr="00023BD3">
              <w:rPr>
                <w:rFonts w:ascii="Arial" w:hAnsi="Arial" w:cs="Arial"/>
                <w:szCs w:val="24"/>
              </w:rPr>
              <w:t xml:space="preserve"> the variation of </w:t>
            </w:r>
            <w:r w:rsidR="00A479C8" w:rsidRPr="00023BD3">
              <w:rPr>
                <w:rFonts w:ascii="Arial" w:hAnsi="Arial" w:cs="Arial" w:hint="eastAsia"/>
                <w:szCs w:val="24"/>
              </w:rPr>
              <w:t xml:space="preserve">the </w:t>
            </w:r>
            <w:r w:rsidRPr="00023BD3">
              <w:rPr>
                <w:rFonts w:ascii="Arial" w:hAnsi="Arial" w:cs="Arial"/>
                <w:szCs w:val="24"/>
              </w:rPr>
              <w:t xml:space="preserve">fee, and </w:t>
            </w:r>
            <w:r w:rsidR="004F25EE" w:rsidRPr="00023BD3">
              <w:rPr>
                <w:rFonts w:ascii="Arial" w:hAnsi="Arial" w:cs="Arial" w:hint="eastAsia"/>
                <w:szCs w:val="24"/>
              </w:rPr>
              <w:t xml:space="preserve">be </w:t>
            </w:r>
            <w:r w:rsidRPr="00023BD3">
              <w:rPr>
                <w:rFonts w:ascii="Arial" w:hAnsi="Arial" w:cs="Arial"/>
                <w:szCs w:val="24"/>
              </w:rPr>
              <w:t>scale</w:t>
            </w:r>
            <w:r w:rsidR="004F25EE" w:rsidRPr="00023BD3">
              <w:rPr>
                <w:rFonts w:ascii="Arial" w:hAnsi="Arial" w:cs="Arial" w:hint="eastAsia"/>
                <w:szCs w:val="24"/>
              </w:rPr>
              <w:t>d</w:t>
            </w:r>
            <w:r w:rsidRPr="00023BD3">
              <w:rPr>
                <w:rFonts w:ascii="Arial" w:hAnsi="Arial" w:cs="Arial"/>
                <w:szCs w:val="24"/>
              </w:rPr>
              <w:t xml:space="preserve"> down to zero year </w:t>
            </w:r>
            <w:r w:rsidR="004F25EE" w:rsidRPr="00023BD3">
              <w:rPr>
                <w:rFonts w:ascii="Arial" w:hAnsi="Arial" w:cs="Arial" w:hint="eastAsia"/>
                <w:szCs w:val="24"/>
              </w:rPr>
              <w:t>by</w:t>
            </w:r>
            <w:r w:rsidR="004F25EE" w:rsidRPr="00023BD3">
              <w:rPr>
                <w:rFonts w:ascii="Arial" w:hAnsi="Arial" w:cs="Arial"/>
                <w:szCs w:val="24"/>
              </w:rPr>
              <w:t xml:space="preserve"> </w:t>
            </w:r>
            <w:r w:rsidRPr="00023BD3">
              <w:rPr>
                <w:rFonts w:ascii="Arial" w:hAnsi="Arial" w:cs="Arial"/>
                <w:szCs w:val="24"/>
              </w:rPr>
              <w:t xml:space="preserve">year </w:t>
            </w:r>
            <w:r w:rsidR="00C56985" w:rsidRPr="00023BD3">
              <w:rPr>
                <w:rFonts w:ascii="Arial" w:hAnsi="Arial" w:cs="Arial"/>
                <w:szCs w:val="24"/>
              </w:rPr>
              <w:t>from the</w:t>
            </w:r>
            <w:r w:rsidRPr="00023BD3">
              <w:rPr>
                <w:rFonts w:ascii="Arial" w:hAnsi="Arial" w:cs="Arial"/>
                <w:szCs w:val="24"/>
              </w:rPr>
              <w:t xml:space="preserve"> implementation date to 31 December, 2016.</w:t>
            </w:r>
          </w:p>
          <w:p w:rsidR="00A4381D" w:rsidRPr="00635B8E" w:rsidRDefault="00A4381D" w:rsidP="006D4C6E">
            <w:pPr>
              <w:pStyle w:val="a3"/>
              <w:ind w:left="408" w:rightChars="13" w:right="31" w:firstLine="0"/>
              <w:rPr>
                <w:rFonts w:ascii="Arial" w:hAnsi="Arial" w:cs="Arial"/>
                <w:kern w:val="0"/>
                <w:szCs w:val="24"/>
              </w:rPr>
            </w:pPr>
          </w:p>
        </w:tc>
      </w:tr>
      <w:tr w:rsidR="00A4381D" w:rsidRPr="00635B8E" w:rsidTr="00364FC5">
        <w:trPr>
          <w:cantSplit/>
          <w:trHeight w:val="974"/>
        </w:trPr>
        <w:tc>
          <w:tcPr>
            <w:tcW w:w="2470" w:type="dxa"/>
            <w:tcBorders>
              <w:top w:val="single" w:sz="6" w:space="0" w:color="auto"/>
              <w:left w:val="single" w:sz="12" w:space="0" w:color="auto"/>
              <w:bottom w:val="single" w:sz="6" w:space="0" w:color="auto"/>
              <w:right w:val="single" w:sz="6" w:space="0" w:color="auto"/>
            </w:tcBorders>
            <w:shd w:val="clear" w:color="FFFFFF" w:fill="auto"/>
            <w:vAlign w:val="center"/>
          </w:tcPr>
          <w:p w:rsidR="00A4381D" w:rsidRPr="00E00F29" w:rsidRDefault="00E00F29" w:rsidP="00E00F29">
            <w:pPr>
              <w:autoSpaceDE w:val="0"/>
              <w:autoSpaceDN w:val="0"/>
              <w:adjustRightInd w:val="0"/>
              <w:jc w:val="center"/>
              <w:rPr>
                <w:rFonts w:ascii="Arial" w:hAnsi="Arial" w:cs="Arial"/>
                <w:szCs w:val="24"/>
              </w:rPr>
            </w:pPr>
            <w:r w:rsidRPr="00E00F29">
              <w:rPr>
                <w:rFonts w:ascii="Arial" w:hAnsi="Arial" w:cs="Arial" w:hint="eastAsia"/>
                <w:szCs w:val="24"/>
              </w:rPr>
              <w:t xml:space="preserve">2012 </w:t>
            </w:r>
          </w:p>
          <w:p w:rsidR="00E00F29" w:rsidRPr="00E00F29" w:rsidRDefault="00E00F29" w:rsidP="00E00F29">
            <w:pPr>
              <w:autoSpaceDE w:val="0"/>
              <w:autoSpaceDN w:val="0"/>
              <w:adjustRightInd w:val="0"/>
              <w:jc w:val="center"/>
              <w:rPr>
                <w:rFonts w:ascii="Arial" w:eastAsia="標楷體" w:hAnsi="Arial" w:cs="Arial"/>
                <w:color w:val="000000"/>
                <w:kern w:val="0"/>
                <w:szCs w:val="24"/>
              </w:rPr>
            </w:pPr>
            <w:r w:rsidRPr="00E00F29">
              <w:rPr>
                <w:rFonts w:ascii="Arial" w:hAnsi="Arial" w:cs="Arial" w:hint="eastAsia"/>
                <w:szCs w:val="24"/>
              </w:rPr>
              <w:t xml:space="preserve">(Jan. 1 </w:t>
            </w:r>
            <w:r w:rsidRPr="00E00F29">
              <w:rPr>
                <w:rFonts w:ascii="Arial" w:hAnsi="Arial" w:cs="Arial"/>
                <w:szCs w:val="24"/>
              </w:rPr>
              <w:t>–</w:t>
            </w:r>
            <w:r w:rsidRPr="00E00F29">
              <w:rPr>
                <w:rFonts w:ascii="Arial" w:hAnsi="Arial" w:cs="Arial" w:hint="eastAsia"/>
                <w:szCs w:val="24"/>
              </w:rPr>
              <w:t xml:space="preserve"> Dec. 31)</w:t>
            </w:r>
          </w:p>
        </w:tc>
        <w:tc>
          <w:tcPr>
            <w:tcW w:w="1496"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1.7304</w:t>
            </w:r>
          </w:p>
        </w:tc>
        <w:tc>
          <w:tcPr>
            <w:tcW w:w="1805"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3787" w:type="dxa"/>
            <w:vMerge/>
            <w:tcBorders>
              <w:left w:val="single" w:sz="6" w:space="0" w:color="auto"/>
              <w:right w:val="single" w:sz="12"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p>
        </w:tc>
      </w:tr>
      <w:tr w:rsidR="00A4381D" w:rsidRPr="00635B8E" w:rsidTr="00364FC5">
        <w:trPr>
          <w:cantSplit/>
          <w:trHeight w:val="974"/>
        </w:trPr>
        <w:tc>
          <w:tcPr>
            <w:tcW w:w="2470" w:type="dxa"/>
            <w:tcBorders>
              <w:top w:val="single" w:sz="6" w:space="0" w:color="auto"/>
              <w:left w:val="single" w:sz="12" w:space="0" w:color="auto"/>
              <w:bottom w:val="single" w:sz="6" w:space="0" w:color="auto"/>
              <w:right w:val="single" w:sz="6" w:space="0" w:color="auto"/>
            </w:tcBorders>
            <w:shd w:val="clear" w:color="FFFFFF" w:fill="auto"/>
            <w:vAlign w:val="center"/>
          </w:tcPr>
          <w:p w:rsidR="00A4381D" w:rsidRPr="00E00F29" w:rsidRDefault="00E00F29" w:rsidP="00E00F29">
            <w:pPr>
              <w:autoSpaceDE w:val="0"/>
              <w:autoSpaceDN w:val="0"/>
              <w:adjustRightInd w:val="0"/>
              <w:jc w:val="center"/>
              <w:rPr>
                <w:rFonts w:ascii="Arial" w:hAnsi="Arial" w:cs="Arial"/>
                <w:szCs w:val="24"/>
              </w:rPr>
            </w:pPr>
            <w:r w:rsidRPr="00E00F29">
              <w:rPr>
                <w:rFonts w:ascii="Arial" w:hAnsi="Arial" w:cs="Arial" w:hint="eastAsia"/>
                <w:szCs w:val="24"/>
              </w:rPr>
              <w:t>2013</w:t>
            </w:r>
          </w:p>
          <w:p w:rsidR="00E00F29" w:rsidRPr="00E00F29" w:rsidRDefault="00E00F29" w:rsidP="00E00F29">
            <w:pPr>
              <w:autoSpaceDE w:val="0"/>
              <w:autoSpaceDN w:val="0"/>
              <w:adjustRightInd w:val="0"/>
              <w:jc w:val="center"/>
              <w:rPr>
                <w:rFonts w:ascii="Arial" w:eastAsia="標楷體" w:hAnsi="Arial" w:cs="Arial"/>
                <w:color w:val="000000"/>
                <w:kern w:val="0"/>
                <w:szCs w:val="24"/>
              </w:rPr>
            </w:pPr>
            <w:r w:rsidRPr="00E00F29">
              <w:rPr>
                <w:rFonts w:ascii="Arial" w:hAnsi="Arial" w:cs="Arial" w:hint="eastAsia"/>
                <w:szCs w:val="24"/>
              </w:rPr>
              <w:t xml:space="preserve">(Jan. 1 </w:t>
            </w:r>
            <w:r w:rsidRPr="00E00F29">
              <w:rPr>
                <w:rFonts w:ascii="Arial" w:hAnsi="Arial" w:cs="Arial"/>
                <w:szCs w:val="24"/>
              </w:rPr>
              <w:t>–</w:t>
            </w:r>
            <w:r w:rsidRPr="00E00F29">
              <w:rPr>
                <w:rFonts w:ascii="Arial" w:hAnsi="Arial" w:cs="Arial" w:hint="eastAsia"/>
                <w:szCs w:val="24"/>
              </w:rPr>
              <w:t xml:space="preserve"> Dec. 31)</w:t>
            </w:r>
          </w:p>
        </w:tc>
        <w:tc>
          <w:tcPr>
            <w:tcW w:w="1496"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1.3843</w:t>
            </w:r>
          </w:p>
        </w:tc>
        <w:tc>
          <w:tcPr>
            <w:tcW w:w="1805"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3787" w:type="dxa"/>
            <w:vMerge/>
            <w:tcBorders>
              <w:left w:val="single" w:sz="6" w:space="0" w:color="auto"/>
              <w:right w:val="single" w:sz="12"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p>
        </w:tc>
      </w:tr>
      <w:tr w:rsidR="00A4381D" w:rsidRPr="00635B8E" w:rsidTr="00364FC5">
        <w:trPr>
          <w:cantSplit/>
          <w:trHeight w:val="974"/>
        </w:trPr>
        <w:tc>
          <w:tcPr>
            <w:tcW w:w="2470" w:type="dxa"/>
            <w:tcBorders>
              <w:top w:val="single" w:sz="6" w:space="0" w:color="auto"/>
              <w:left w:val="single" w:sz="12" w:space="0" w:color="auto"/>
              <w:bottom w:val="single" w:sz="6" w:space="0" w:color="auto"/>
              <w:right w:val="single" w:sz="6" w:space="0" w:color="auto"/>
            </w:tcBorders>
            <w:shd w:val="clear" w:color="FFFFFF" w:fill="auto"/>
            <w:vAlign w:val="center"/>
          </w:tcPr>
          <w:p w:rsidR="00A4381D" w:rsidRPr="00E00F29" w:rsidRDefault="00E00F29" w:rsidP="00E00F29">
            <w:pPr>
              <w:autoSpaceDE w:val="0"/>
              <w:autoSpaceDN w:val="0"/>
              <w:adjustRightInd w:val="0"/>
              <w:jc w:val="center"/>
              <w:rPr>
                <w:rFonts w:ascii="Arial" w:hAnsi="Arial" w:cs="Arial"/>
                <w:szCs w:val="24"/>
              </w:rPr>
            </w:pPr>
            <w:r w:rsidRPr="00E00F29">
              <w:rPr>
                <w:rFonts w:ascii="Arial" w:hAnsi="Arial" w:cs="Arial" w:hint="eastAsia"/>
                <w:szCs w:val="24"/>
              </w:rPr>
              <w:t>2014</w:t>
            </w:r>
          </w:p>
          <w:p w:rsidR="00E00F29" w:rsidRPr="00E00F29" w:rsidRDefault="00E00F29" w:rsidP="00E00F29">
            <w:pPr>
              <w:autoSpaceDE w:val="0"/>
              <w:autoSpaceDN w:val="0"/>
              <w:adjustRightInd w:val="0"/>
              <w:jc w:val="center"/>
              <w:rPr>
                <w:rFonts w:ascii="Arial" w:eastAsia="標楷體" w:hAnsi="Arial" w:cs="Arial"/>
                <w:color w:val="000000"/>
                <w:kern w:val="0"/>
                <w:szCs w:val="24"/>
              </w:rPr>
            </w:pPr>
            <w:r w:rsidRPr="00E00F29">
              <w:rPr>
                <w:rFonts w:ascii="Arial" w:hAnsi="Arial" w:cs="Arial" w:hint="eastAsia"/>
                <w:szCs w:val="24"/>
              </w:rPr>
              <w:t xml:space="preserve">(Jan. 1 </w:t>
            </w:r>
            <w:r w:rsidRPr="00E00F29">
              <w:rPr>
                <w:rFonts w:ascii="Arial" w:hAnsi="Arial" w:cs="Arial"/>
                <w:szCs w:val="24"/>
              </w:rPr>
              <w:t>–</w:t>
            </w:r>
            <w:r w:rsidRPr="00E00F29">
              <w:rPr>
                <w:rFonts w:ascii="Arial" w:hAnsi="Arial" w:cs="Arial" w:hint="eastAsia"/>
                <w:szCs w:val="24"/>
              </w:rPr>
              <w:t xml:space="preserve"> Dec. 31)</w:t>
            </w:r>
          </w:p>
        </w:tc>
        <w:tc>
          <w:tcPr>
            <w:tcW w:w="1496"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1.0383</w:t>
            </w:r>
          </w:p>
        </w:tc>
        <w:tc>
          <w:tcPr>
            <w:tcW w:w="1805"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3787" w:type="dxa"/>
            <w:vMerge/>
            <w:tcBorders>
              <w:left w:val="single" w:sz="6" w:space="0" w:color="auto"/>
              <w:right w:val="single" w:sz="12"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p>
        </w:tc>
      </w:tr>
      <w:tr w:rsidR="00A4381D" w:rsidRPr="00635B8E" w:rsidTr="00364FC5">
        <w:trPr>
          <w:cantSplit/>
          <w:trHeight w:val="974"/>
        </w:trPr>
        <w:tc>
          <w:tcPr>
            <w:tcW w:w="2470" w:type="dxa"/>
            <w:tcBorders>
              <w:top w:val="single" w:sz="6" w:space="0" w:color="auto"/>
              <w:left w:val="single" w:sz="12" w:space="0" w:color="auto"/>
              <w:bottom w:val="single" w:sz="6" w:space="0" w:color="auto"/>
              <w:right w:val="single" w:sz="6" w:space="0" w:color="auto"/>
            </w:tcBorders>
            <w:shd w:val="clear" w:color="FFFFFF" w:fill="auto"/>
            <w:vAlign w:val="center"/>
          </w:tcPr>
          <w:p w:rsidR="00A4381D" w:rsidRPr="00E00F29" w:rsidRDefault="00E00F29" w:rsidP="00E00F29">
            <w:pPr>
              <w:autoSpaceDE w:val="0"/>
              <w:autoSpaceDN w:val="0"/>
              <w:adjustRightInd w:val="0"/>
              <w:jc w:val="center"/>
              <w:rPr>
                <w:rFonts w:ascii="Arial" w:hAnsi="Arial" w:cs="Arial"/>
                <w:szCs w:val="24"/>
              </w:rPr>
            </w:pPr>
            <w:r w:rsidRPr="00E00F29">
              <w:rPr>
                <w:rFonts w:ascii="Arial" w:hAnsi="Arial" w:cs="Arial" w:hint="eastAsia"/>
                <w:szCs w:val="24"/>
              </w:rPr>
              <w:t>2015</w:t>
            </w:r>
          </w:p>
          <w:p w:rsidR="00E00F29" w:rsidRPr="00E00F29" w:rsidRDefault="00E00F29" w:rsidP="00E00F29">
            <w:pPr>
              <w:autoSpaceDE w:val="0"/>
              <w:autoSpaceDN w:val="0"/>
              <w:adjustRightInd w:val="0"/>
              <w:jc w:val="center"/>
              <w:rPr>
                <w:rFonts w:ascii="Arial" w:eastAsia="標楷體" w:hAnsi="Arial" w:cs="Arial"/>
                <w:color w:val="000000"/>
                <w:kern w:val="0"/>
                <w:szCs w:val="24"/>
              </w:rPr>
            </w:pPr>
            <w:r w:rsidRPr="00E00F29">
              <w:rPr>
                <w:rFonts w:ascii="Arial" w:hAnsi="Arial" w:cs="Arial" w:hint="eastAsia"/>
                <w:szCs w:val="24"/>
              </w:rPr>
              <w:t xml:space="preserve">(Jan. 1 </w:t>
            </w:r>
            <w:r w:rsidRPr="00E00F29">
              <w:rPr>
                <w:rFonts w:ascii="Arial" w:hAnsi="Arial" w:cs="Arial"/>
                <w:szCs w:val="24"/>
              </w:rPr>
              <w:t>–</w:t>
            </w:r>
            <w:r w:rsidRPr="00E00F29">
              <w:rPr>
                <w:rFonts w:ascii="Arial" w:hAnsi="Arial" w:cs="Arial" w:hint="eastAsia"/>
                <w:szCs w:val="24"/>
              </w:rPr>
              <w:t xml:space="preserve"> Dec. 31)</w:t>
            </w:r>
          </w:p>
        </w:tc>
        <w:tc>
          <w:tcPr>
            <w:tcW w:w="1496"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0.6922</w:t>
            </w:r>
          </w:p>
        </w:tc>
        <w:tc>
          <w:tcPr>
            <w:tcW w:w="1805"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3787" w:type="dxa"/>
            <w:vMerge/>
            <w:tcBorders>
              <w:left w:val="single" w:sz="6" w:space="0" w:color="auto"/>
              <w:right w:val="single" w:sz="12"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p>
        </w:tc>
      </w:tr>
      <w:tr w:rsidR="00A4381D" w:rsidRPr="00635B8E" w:rsidTr="00364FC5">
        <w:trPr>
          <w:cantSplit/>
          <w:trHeight w:val="974"/>
        </w:trPr>
        <w:tc>
          <w:tcPr>
            <w:tcW w:w="2470" w:type="dxa"/>
            <w:tcBorders>
              <w:top w:val="single" w:sz="6" w:space="0" w:color="auto"/>
              <w:left w:val="single" w:sz="12" w:space="0" w:color="auto"/>
              <w:bottom w:val="single" w:sz="6" w:space="0" w:color="auto"/>
              <w:right w:val="single" w:sz="6" w:space="0" w:color="auto"/>
            </w:tcBorders>
            <w:shd w:val="clear" w:color="FFFFFF" w:fill="auto"/>
            <w:vAlign w:val="center"/>
          </w:tcPr>
          <w:p w:rsidR="00A4381D" w:rsidRPr="00E00F29" w:rsidRDefault="00E00F29" w:rsidP="00E00F29">
            <w:pPr>
              <w:autoSpaceDE w:val="0"/>
              <w:autoSpaceDN w:val="0"/>
              <w:adjustRightInd w:val="0"/>
              <w:jc w:val="center"/>
              <w:rPr>
                <w:rFonts w:ascii="Arial" w:hAnsi="Arial" w:cs="Arial"/>
                <w:szCs w:val="24"/>
              </w:rPr>
            </w:pPr>
            <w:r w:rsidRPr="00E00F29">
              <w:rPr>
                <w:rFonts w:ascii="Arial" w:hAnsi="Arial" w:cs="Arial" w:hint="eastAsia"/>
                <w:szCs w:val="24"/>
              </w:rPr>
              <w:t>2016</w:t>
            </w:r>
          </w:p>
          <w:p w:rsidR="00E00F29" w:rsidRPr="00E00F29" w:rsidRDefault="00E00F29" w:rsidP="00E00F29">
            <w:pPr>
              <w:autoSpaceDE w:val="0"/>
              <w:autoSpaceDN w:val="0"/>
              <w:adjustRightInd w:val="0"/>
              <w:jc w:val="center"/>
              <w:rPr>
                <w:rFonts w:ascii="Arial" w:eastAsia="標楷體" w:hAnsi="Arial" w:cs="Arial"/>
                <w:color w:val="000000"/>
                <w:kern w:val="0"/>
                <w:szCs w:val="24"/>
              </w:rPr>
            </w:pPr>
            <w:r w:rsidRPr="00E00F29">
              <w:rPr>
                <w:rFonts w:ascii="Arial" w:hAnsi="Arial" w:cs="Arial" w:hint="eastAsia"/>
                <w:szCs w:val="24"/>
              </w:rPr>
              <w:t xml:space="preserve">(Jan. 1 </w:t>
            </w:r>
            <w:r w:rsidRPr="00E00F29">
              <w:rPr>
                <w:rFonts w:ascii="Arial" w:hAnsi="Arial" w:cs="Arial"/>
                <w:szCs w:val="24"/>
              </w:rPr>
              <w:t>–</w:t>
            </w:r>
            <w:r w:rsidRPr="00E00F29">
              <w:rPr>
                <w:rFonts w:ascii="Arial" w:hAnsi="Arial" w:cs="Arial" w:hint="eastAsia"/>
                <w:szCs w:val="24"/>
              </w:rPr>
              <w:t xml:space="preserve"> Dec. 31)</w:t>
            </w:r>
          </w:p>
        </w:tc>
        <w:tc>
          <w:tcPr>
            <w:tcW w:w="1496"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0.3461</w:t>
            </w:r>
          </w:p>
        </w:tc>
        <w:tc>
          <w:tcPr>
            <w:tcW w:w="1805" w:type="dxa"/>
            <w:tcBorders>
              <w:top w:val="single" w:sz="6" w:space="0" w:color="auto"/>
              <w:left w:val="single" w:sz="6" w:space="0" w:color="auto"/>
              <w:bottom w:val="single" w:sz="6"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3787" w:type="dxa"/>
            <w:vMerge/>
            <w:tcBorders>
              <w:left w:val="single" w:sz="6" w:space="0" w:color="auto"/>
              <w:right w:val="single" w:sz="12"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p>
        </w:tc>
      </w:tr>
      <w:tr w:rsidR="00A4381D" w:rsidRPr="00635B8E" w:rsidTr="00364FC5">
        <w:trPr>
          <w:cantSplit/>
          <w:trHeight w:val="974"/>
        </w:trPr>
        <w:tc>
          <w:tcPr>
            <w:tcW w:w="2470" w:type="dxa"/>
            <w:tcBorders>
              <w:top w:val="single" w:sz="6" w:space="0" w:color="auto"/>
              <w:left w:val="single" w:sz="12" w:space="0" w:color="auto"/>
              <w:bottom w:val="single" w:sz="12" w:space="0" w:color="auto"/>
              <w:right w:val="single" w:sz="6" w:space="0" w:color="auto"/>
            </w:tcBorders>
            <w:shd w:val="clear" w:color="FFFFFF" w:fill="auto"/>
            <w:vAlign w:val="center"/>
          </w:tcPr>
          <w:p w:rsidR="00A4381D" w:rsidRPr="00635B8E" w:rsidRDefault="00E00F29" w:rsidP="00E00F29">
            <w:pPr>
              <w:ind w:left="90" w:right="127"/>
              <w:jc w:val="center"/>
              <w:rPr>
                <w:rFonts w:ascii="Arial" w:eastAsia="標楷體" w:hAnsi="Arial" w:cs="Arial"/>
                <w:color w:val="000000"/>
                <w:kern w:val="0"/>
                <w:szCs w:val="24"/>
              </w:rPr>
            </w:pPr>
            <w:r>
              <w:rPr>
                <w:rFonts w:ascii="Arial" w:hAnsi="Arial" w:cs="Arial" w:hint="eastAsia"/>
                <w:color w:val="000000"/>
                <w:szCs w:val="24"/>
              </w:rPr>
              <w:t>From</w:t>
            </w:r>
            <w:r w:rsidR="001F28A5" w:rsidRPr="00635B8E">
              <w:rPr>
                <w:rFonts w:ascii="Arial" w:hAnsi="Arial" w:cs="Arial"/>
                <w:color w:val="000000"/>
                <w:szCs w:val="24"/>
              </w:rPr>
              <w:t xml:space="preserve"> </w:t>
            </w:r>
            <w:r w:rsidR="001F28A5" w:rsidRPr="00635B8E">
              <w:rPr>
                <w:rFonts w:ascii="Arial" w:eastAsia="Times New Roman" w:hAnsi="Arial" w:cs="Arial"/>
                <w:color w:val="000000"/>
                <w:szCs w:val="24"/>
              </w:rPr>
              <w:t>2017</w:t>
            </w:r>
          </w:p>
        </w:tc>
        <w:tc>
          <w:tcPr>
            <w:tcW w:w="1496" w:type="dxa"/>
            <w:tcBorders>
              <w:top w:val="single" w:sz="6" w:space="0" w:color="auto"/>
              <w:left w:val="single" w:sz="6" w:space="0" w:color="auto"/>
              <w:bottom w:val="single" w:sz="12"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1805" w:type="dxa"/>
            <w:tcBorders>
              <w:top w:val="single" w:sz="6" w:space="0" w:color="auto"/>
              <w:left w:val="single" w:sz="6" w:space="0" w:color="auto"/>
              <w:bottom w:val="single" w:sz="12" w:space="0" w:color="auto"/>
              <w:right w:val="single" w:sz="6"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r w:rsidRPr="00635B8E">
              <w:rPr>
                <w:rFonts w:ascii="Arial" w:eastAsia="標楷體" w:hAnsi="Arial" w:cs="Arial"/>
                <w:kern w:val="0"/>
                <w:szCs w:val="24"/>
              </w:rPr>
              <w:t>0</w:t>
            </w:r>
          </w:p>
        </w:tc>
        <w:tc>
          <w:tcPr>
            <w:tcW w:w="3787" w:type="dxa"/>
            <w:vMerge/>
            <w:tcBorders>
              <w:left w:val="single" w:sz="6" w:space="0" w:color="auto"/>
              <w:bottom w:val="single" w:sz="12" w:space="0" w:color="auto"/>
              <w:right w:val="single" w:sz="12" w:space="0" w:color="auto"/>
            </w:tcBorders>
            <w:shd w:val="clear" w:color="FFFFFF" w:fill="auto"/>
            <w:vAlign w:val="center"/>
          </w:tcPr>
          <w:p w:rsidR="00A4381D" w:rsidRPr="00635B8E" w:rsidRDefault="00A4381D" w:rsidP="00A4381D">
            <w:pPr>
              <w:autoSpaceDE w:val="0"/>
              <w:autoSpaceDN w:val="0"/>
              <w:adjustRightInd w:val="0"/>
              <w:jc w:val="center"/>
              <w:rPr>
                <w:rFonts w:ascii="Arial" w:eastAsia="標楷體" w:hAnsi="Arial" w:cs="Arial"/>
                <w:kern w:val="0"/>
                <w:szCs w:val="24"/>
              </w:rPr>
            </w:pPr>
          </w:p>
        </w:tc>
      </w:tr>
    </w:tbl>
    <w:p w:rsidR="00A4381D" w:rsidRPr="00364FC5" w:rsidRDefault="00A4381D" w:rsidP="00A4381D">
      <w:pPr>
        <w:pStyle w:val="a3"/>
        <w:ind w:left="1180" w:rightChars="327" w:right="785" w:hanging="260"/>
        <w:rPr>
          <w:rFonts w:ascii="Arial" w:hAnsi="Arial" w:cs="Arial"/>
          <w:sz w:val="20"/>
        </w:rPr>
      </w:pPr>
    </w:p>
    <w:p w:rsidR="00364FC5" w:rsidRPr="00364FC5" w:rsidRDefault="00364FC5" w:rsidP="00364FC5">
      <w:pPr>
        <w:pStyle w:val="a3"/>
        <w:ind w:rightChars="47" w:right="113"/>
        <w:jc w:val="left"/>
        <w:rPr>
          <w:rFonts w:ascii="Arial" w:hAnsi="Arial" w:cs="Arial"/>
          <w:sz w:val="20"/>
        </w:rPr>
      </w:pPr>
    </w:p>
    <w:p w:rsidR="009D5C44" w:rsidRPr="00325310" w:rsidRDefault="009D5C44" w:rsidP="00364FC5">
      <w:pPr>
        <w:pStyle w:val="a3"/>
        <w:ind w:left="1180" w:rightChars="327" w:right="785" w:hanging="260"/>
        <w:rPr>
          <w:rFonts w:ascii="Arial" w:hAnsi="Arial" w:cs="Arial"/>
          <w:szCs w:val="24"/>
        </w:rPr>
      </w:pPr>
    </w:p>
    <w:sectPr w:rsidR="009D5C44" w:rsidRPr="00325310" w:rsidSect="00A4381D">
      <w:footerReference w:type="even" r:id="rId8"/>
      <w:footerReference w:type="default" r:id="rId9"/>
      <w:pgSz w:w="11906" w:h="16838" w:code="9"/>
      <w:pgMar w:top="1134" w:right="100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E0" w:rsidRDefault="00C527E0">
      <w:r>
        <w:separator/>
      </w:r>
    </w:p>
  </w:endnote>
  <w:endnote w:type="continuationSeparator" w:id="1">
    <w:p w:rsidR="00C527E0" w:rsidRDefault="00C527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1D" w:rsidRDefault="004F2FB2">
    <w:pPr>
      <w:pStyle w:val="a4"/>
      <w:framePr w:wrap="around" w:vAnchor="text" w:hAnchor="margin" w:xAlign="center" w:y="1"/>
      <w:rPr>
        <w:rStyle w:val="a6"/>
      </w:rPr>
    </w:pPr>
    <w:r>
      <w:rPr>
        <w:rStyle w:val="a6"/>
      </w:rPr>
      <w:fldChar w:fldCharType="begin"/>
    </w:r>
    <w:r w:rsidR="00A4381D">
      <w:rPr>
        <w:rStyle w:val="a6"/>
      </w:rPr>
      <w:instrText xml:space="preserve">PAGE  </w:instrText>
    </w:r>
    <w:r>
      <w:rPr>
        <w:rStyle w:val="a6"/>
      </w:rPr>
      <w:fldChar w:fldCharType="separate"/>
    </w:r>
    <w:r w:rsidR="00A4381D">
      <w:rPr>
        <w:rStyle w:val="a6"/>
        <w:noProof/>
      </w:rPr>
      <w:t>2</w:t>
    </w:r>
    <w:r>
      <w:rPr>
        <w:rStyle w:val="a6"/>
      </w:rPr>
      <w:fldChar w:fldCharType="end"/>
    </w:r>
  </w:p>
  <w:p w:rsidR="00A4381D" w:rsidRDefault="00A438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1D" w:rsidRDefault="004F2FB2">
    <w:pPr>
      <w:pStyle w:val="a4"/>
      <w:framePr w:wrap="around" w:vAnchor="text" w:hAnchor="margin" w:xAlign="center" w:y="1"/>
      <w:rPr>
        <w:rStyle w:val="a6"/>
      </w:rPr>
    </w:pPr>
    <w:r>
      <w:rPr>
        <w:rStyle w:val="a6"/>
      </w:rPr>
      <w:fldChar w:fldCharType="begin"/>
    </w:r>
    <w:r w:rsidR="00A4381D">
      <w:rPr>
        <w:rStyle w:val="a6"/>
      </w:rPr>
      <w:instrText xml:space="preserve">PAGE  </w:instrText>
    </w:r>
    <w:r>
      <w:rPr>
        <w:rStyle w:val="a6"/>
      </w:rPr>
      <w:fldChar w:fldCharType="separate"/>
    </w:r>
    <w:r w:rsidR="004203C0">
      <w:rPr>
        <w:rStyle w:val="a6"/>
        <w:noProof/>
      </w:rPr>
      <w:t>1</w:t>
    </w:r>
    <w:r>
      <w:rPr>
        <w:rStyle w:val="a6"/>
      </w:rPr>
      <w:fldChar w:fldCharType="end"/>
    </w:r>
  </w:p>
  <w:p w:rsidR="00A4381D" w:rsidRDefault="00A438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E0" w:rsidRDefault="00C527E0">
      <w:r>
        <w:separator/>
      </w:r>
    </w:p>
  </w:footnote>
  <w:footnote w:type="continuationSeparator" w:id="1">
    <w:p w:rsidR="00C527E0" w:rsidRDefault="00C52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BF9"/>
    <w:multiLevelType w:val="hybridMultilevel"/>
    <w:tmpl w:val="F8603D2E"/>
    <w:lvl w:ilvl="0" w:tplc="9AD8D88C">
      <w:start w:val="1"/>
      <w:numFmt w:val="decimal"/>
      <w:lvlText w:val="%1."/>
      <w:lvlJc w:val="left"/>
      <w:pPr>
        <w:ind w:left="408" w:hanging="360"/>
      </w:pPr>
      <w:rPr>
        <w:rFonts w:ascii="Arial" w:eastAsia="標楷體" w:hAnsi="Arial" w:cs="Arial"/>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nsid w:val="40ED0F19"/>
    <w:multiLevelType w:val="hybridMultilevel"/>
    <w:tmpl w:val="C142B3BA"/>
    <w:lvl w:ilvl="0" w:tplc="9AD8D88C">
      <w:start w:val="1"/>
      <w:numFmt w:val="decimal"/>
      <w:lvlText w:val="%1."/>
      <w:lvlJc w:val="left"/>
      <w:pPr>
        <w:ind w:left="456" w:hanging="360"/>
      </w:pPr>
      <w:rPr>
        <w:rFonts w:ascii="Arial" w:eastAsia="標楷體" w:hAnsi="Arial" w:cs="Arial"/>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
    <w:nsid w:val="60BF4BFE"/>
    <w:multiLevelType w:val="hybridMultilevel"/>
    <w:tmpl w:val="F8603D2E"/>
    <w:lvl w:ilvl="0" w:tplc="9AD8D88C">
      <w:start w:val="1"/>
      <w:numFmt w:val="decimal"/>
      <w:lvlText w:val="%1."/>
      <w:lvlJc w:val="left"/>
      <w:pPr>
        <w:ind w:left="408" w:hanging="360"/>
      </w:pPr>
      <w:rPr>
        <w:rFonts w:ascii="Arial" w:eastAsia="標楷體" w:hAnsi="Arial" w:cs="Arial"/>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60F844F6"/>
    <w:multiLevelType w:val="hybridMultilevel"/>
    <w:tmpl w:val="C142B3BA"/>
    <w:lvl w:ilvl="0" w:tplc="9AD8D88C">
      <w:start w:val="1"/>
      <w:numFmt w:val="decimal"/>
      <w:lvlText w:val="%1."/>
      <w:lvlJc w:val="left"/>
      <w:pPr>
        <w:ind w:left="456" w:hanging="360"/>
      </w:pPr>
      <w:rPr>
        <w:rFonts w:ascii="Arial" w:eastAsia="標楷體" w:hAnsi="Arial" w:cs="Arial"/>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nsid w:val="74564783"/>
    <w:multiLevelType w:val="hybridMultilevel"/>
    <w:tmpl w:val="48B48F32"/>
    <w:lvl w:ilvl="0" w:tplc="9AD8D88C">
      <w:start w:val="1"/>
      <w:numFmt w:val="decimal"/>
      <w:lvlText w:val="%1."/>
      <w:lvlJc w:val="left"/>
      <w:pPr>
        <w:ind w:left="408" w:hanging="360"/>
      </w:pPr>
      <w:rPr>
        <w:rFonts w:ascii="Arial" w:eastAsia="標楷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81D"/>
    <w:rsid w:val="00023BD3"/>
    <w:rsid w:val="000C1A61"/>
    <w:rsid w:val="0011081E"/>
    <w:rsid w:val="00155F77"/>
    <w:rsid w:val="001F28A5"/>
    <w:rsid w:val="00202ADF"/>
    <w:rsid w:val="00325310"/>
    <w:rsid w:val="00343D5B"/>
    <w:rsid w:val="00344DF0"/>
    <w:rsid w:val="003609E8"/>
    <w:rsid w:val="00364FC5"/>
    <w:rsid w:val="003E29DD"/>
    <w:rsid w:val="00403BC8"/>
    <w:rsid w:val="004116CD"/>
    <w:rsid w:val="004203C0"/>
    <w:rsid w:val="004922EC"/>
    <w:rsid w:val="004A723E"/>
    <w:rsid w:val="004F25EE"/>
    <w:rsid w:val="004F2FB2"/>
    <w:rsid w:val="00505568"/>
    <w:rsid w:val="0052165A"/>
    <w:rsid w:val="005F5472"/>
    <w:rsid w:val="00635B8E"/>
    <w:rsid w:val="006D4C6E"/>
    <w:rsid w:val="006D7002"/>
    <w:rsid w:val="0071746B"/>
    <w:rsid w:val="00725CF6"/>
    <w:rsid w:val="007A1212"/>
    <w:rsid w:val="007C4E77"/>
    <w:rsid w:val="00882B6B"/>
    <w:rsid w:val="008F322D"/>
    <w:rsid w:val="0090418E"/>
    <w:rsid w:val="00917D1F"/>
    <w:rsid w:val="00942964"/>
    <w:rsid w:val="0095573C"/>
    <w:rsid w:val="009B49F8"/>
    <w:rsid w:val="009C17D6"/>
    <w:rsid w:val="009D5A40"/>
    <w:rsid w:val="009D5C44"/>
    <w:rsid w:val="00A4381D"/>
    <w:rsid w:val="00A479C8"/>
    <w:rsid w:val="00AB09CA"/>
    <w:rsid w:val="00AB55DD"/>
    <w:rsid w:val="00B15F87"/>
    <w:rsid w:val="00B81D2C"/>
    <w:rsid w:val="00BD461B"/>
    <w:rsid w:val="00BF6D9C"/>
    <w:rsid w:val="00C02CED"/>
    <w:rsid w:val="00C2508E"/>
    <w:rsid w:val="00C527E0"/>
    <w:rsid w:val="00C56985"/>
    <w:rsid w:val="00C63ABF"/>
    <w:rsid w:val="00C74A8F"/>
    <w:rsid w:val="00CD45F6"/>
    <w:rsid w:val="00D30420"/>
    <w:rsid w:val="00D93EAB"/>
    <w:rsid w:val="00DB4285"/>
    <w:rsid w:val="00DD768B"/>
    <w:rsid w:val="00E00F29"/>
    <w:rsid w:val="00ED5772"/>
    <w:rsid w:val="00F04A4B"/>
    <w:rsid w:val="00F05D2F"/>
    <w:rsid w:val="00F25E03"/>
    <w:rsid w:val="00FA1222"/>
    <w:rsid w:val="00FE2747"/>
    <w:rsid w:val="00FF3791"/>
    <w:rsid w:val="00FF6A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1D"/>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二項"/>
    <w:basedOn w:val="a"/>
    <w:rsid w:val="00A4381D"/>
    <w:pPr>
      <w:ind w:left="238" w:firstLine="490"/>
      <w:jc w:val="both"/>
    </w:pPr>
    <w:rPr>
      <w:rFonts w:eastAsia="標楷體"/>
    </w:rPr>
  </w:style>
  <w:style w:type="paragraph" w:styleId="a4">
    <w:name w:val="footer"/>
    <w:basedOn w:val="a"/>
    <w:link w:val="a5"/>
    <w:rsid w:val="00A4381D"/>
    <w:pPr>
      <w:tabs>
        <w:tab w:val="center" w:pos="4153"/>
        <w:tab w:val="right" w:pos="8306"/>
      </w:tabs>
      <w:snapToGrid w:val="0"/>
    </w:pPr>
    <w:rPr>
      <w:sz w:val="20"/>
    </w:rPr>
  </w:style>
  <w:style w:type="character" w:customStyle="1" w:styleId="a5">
    <w:name w:val="頁尾 字元"/>
    <w:basedOn w:val="a0"/>
    <w:link w:val="a4"/>
    <w:rsid w:val="00A4381D"/>
    <w:rPr>
      <w:rFonts w:ascii="Times New Roman" w:eastAsia="新細明體" w:hAnsi="Times New Roman" w:cs="Times New Roman"/>
      <w:sz w:val="20"/>
      <w:szCs w:val="20"/>
    </w:rPr>
  </w:style>
  <w:style w:type="character" w:styleId="a6">
    <w:name w:val="page number"/>
    <w:basedOn w:val="a0"/>
    <w:rsid w:val="00A4381D"/>
  </w:style>
  <w:style w:type="paragraph" w:styleId="a7">
    <w:name w:val="header"/>
    <w:basedOn w:val="a"/>
    <w:link w:val="a8"/>
    <w:uiPriority w:val="99"/>
    <w:semiHidden/>
    <w:unhideWhenUsed/>
    <w:rsid w:val="005F5472"/>
    <w:pPr>
      <w:tabs>
        <w:tab w:val="center" w:pos="4153"/>
        <w:tab w:val="right" w:pos="8306"/>
      </w:tabs>
      <w:snapToGrid w:val="0"/>
    </w:pPr>
    <w:rPr>
      <w:sz w:val="20"/>
    </w:rPr>
  </w:style>
  <w:style w:type="character" w:customStyle="1" w:styleId="a8">
    <w:name w:val="頁首 字元"/>
    <w:basedOn w:val="a0"/>
    <w:link w:val="a7"/>
    <w:uiPriority w:val="99"/>
    <w:semiHidden/>
    <w:rsid w:val="005F5472"/>
    <w:rPr>
      <w:rFonts w:ascii="Times New Roman" w:hAnsi="Times New Roman"/>
      <w:kern w:val="2"/>
    </w:rPr>
  </w:style>
  <w:style w:type="paragraph" w:styleId="a9">
    <w:name w:val="Balloon Text"/>
    <w:basedOn w:val="a"/>
    <w:link w:val="aa"/>
    <w:uiPriority w:val="99"/>
    <w:semiHidden/>
    <w:unhideWhenUsed/>
    <w:rsid w:val="00403BC8"/>
    <w:rPr>
      <w:rFonts w:ascii="Cambria" w:hAnsi="Cambria"/>
      <w:sz w:val="16"/>
      <w:szCs w:val="16"/>
    </w:rPr>
  </w:style>
  <w:style w:type="character" w:customStyle="1" w:styleId="aa">
    <w:name w:val="註解方塊文字 字元"/>
    <w:basedOn w:val="a0"/>
    <w:link w:val="a9"/>
    <w:uiPriority w:val="99"/>
    <w:semiHidden/>
    <w:rsid w:val="00403BC8"/>
    <w:rPr>
      <w:rFonts w:ascii="Cambria" w:eastAsia="新細明體" w:hAnsi="Cambria" w:cs="Times New Roman"/>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BBC7-D60B-4CFD-A012-1D59AB62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國家通訊傳播委員會</Company>
  <LinksUpToDate>false</LinksUpToDate>
  <CharactersWithSpaces>1018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2010-10-26T07:08:00Z</dcterms:created>
  <dc:creator>Jean</dc:creator>
  <lastModifiedBy>Jean</lastModifiedBy>
  <lastPrinted>2010-08-18T07:48:00Z</lastPrinted>
  <dcterms:modified xsi:type="dcterms:W3CDTF">2010-10-27T09:05:00Z</dcterms:modified>
  <revision>4</revision>
</coreProperties>
</file>